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娄底市中心医院采购项目</w:t>
      </w:r>
      <w:r>
        <w:rPr>
          <w:rFonts w:hint="eastAsia" w:ascii="宋体" w:hAnsi="宋体"/>
          <w:b/>
          <w:bCs/>
          <w:sz w:val="32"/>
          <w:szCs w:val="32"/>
        </w:rPr>
        <w:t>综合评分</w:t>
      </w:r>
      <w:r>
        <w:rPr>
          <w:rFonts w:hint="eastAsia" w:ascii="宋体" w:hAnsi="宋体"/>
          <w:b/>
          <w:bCs/>
          <w:sz w:val="32"/>
          <w:szCs w:val="32"/>
          <w:lang w:val="en-US" w:eastAsia="zh-CN"/>
        </w:rPr>
        <w:t>表</w:t>
      </w:r>
    </w:p>
    <w:tbl>
      <w:tblPr>
        <w:tblStyle w:val="5"/>
        <w:tblpPr w:leftFromText="180" w:rightFromText="180" w:vertAnchor="page" w:horzAnchor="page" w:tblpX="1038" w:tblpY="2295"/>
        <w:tblOverlap w:val="never"/>
        <w:tblW w:w="1473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418"/>
        <w:gridCol w:w="720"/>
        <w:gridCol w:w="5289"/>
        <w:gridCol w:w="1131"/>
        <w:gridCol w:w="1146"/>
        <w:gridCol w:w="982"/>
        <w:gridCol w:w="1050"/>
        <w:gridCol w:w="900"/>
        <w:gridCol w:w="9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561" w:type="dxa"/>
            <w:gridSpan w:val="4"/>
            <w:vAlign w:val="center"/>
          </w:tcPr>
          <w:p>
            <w:pPr>
              <w:adjustRightInd w:val="0"/>
              <w:snapToGrid w:val="0"/>
              <w:spacing w:before="156" w:beforeLines="50" w:line="360" w:lineRule="auto"/>
              <w:jc w:val="center"/>
              <w:rPr>
                <w:rFonts w:hint="eastAsia" w:ascii="宋体" w:hAnsi="宋体"/>
                <w:b/>
                <w:bCs/>
                <w:sz w:val="28"/>
                <w:szCs w:val="28"/>
              </w:rPr>
            </w:pPr>
            <w:r>
              <w:rPr>
                <w:rFonts w:hint="eastAsia" w:ascii="宋体" w:hAnsi="宋体"/>
                <w:b/>
                <w:bCs/>
                <w:sz w:val="28"/>
                <w:szCs w:val="28"/>
              </w:rPr>
              <w:t>评标方法及标准</w:t>
            </w:r>
          </w:p>
        </w:tc>
        <w:tc>
          <w:tcPr>
            <w:tcW w:w="6177" w:type="dxa"/>
            <w:gridSpan w:val="6"/>
            <w:vAlign w:val="center"/>
          </w:tcPr>
          <w:p>
            <w:pPr>
              <w:adjustRightInd w:val="0"/>
              <w:snapToGrid w:val="0"/>
              <w:spacing w:before="156" w:beforeLines="50" w:line="360" w:lineRule="auto"/>
              <w:jc w:val="center"/>
              <w:rPr>
                <w:rFonts w:hint="eastAsia" w:ascii="宋体" w:hAnsi="宋体" w:eastAsia="宋体"/>
                <w:b/>
                <w:bCs/>
                <w:sz w:val="28"/>
                <w:szCs w:val="28"/>
                <w:lang w:val="en-US" w:eastAsia="zh-CN"/>
              </w:rPr>
            </w:pPr>
            <w:r>
              <w:rPr>
                <w:rFonts w:hint="eastAsia" w:ascii="宋体" w:hAnsi="宋体"/>
                <w:b/>
                <w:bCs/>
                <w:sz w:val="28"/>
                <w:szCs w:val="28"/>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2552" w:type="dxa"/>
            <w:gridSpan w:val="2"/>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评审因素</w:t>
            </w:r>
          </w:p>
        </w:tc>
        <w:tc>
          <w:tcPr>
            <w:tcW w:w="720"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分值</w:t>
            </w:r>
          </w:p>
        </w:tc>
        <w:tc>
          <w:tcPr>
            <w:tcW w:w="5289"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评分标准</w:t>
            </w:r>
          </w:p>
        </w:tc>
        <w:tc>
          <w:tcPr>
            <w:tcW w:w="1131" w:type="dxa"/>
            <w:vAlign w:val="center"/>
          </w:tcPr>
          <w:p>
            <w:pPr>
              <w:adjustRightInd w:val="0"/>
              <w:snapToGrid w:val="0"/>
              <w:spacing w:before="156" w:beforeLines="50" w:line="360" w:lineRule="auto"/>
              <w:jc w:val="center"/>
              <w:rPr>
                <w:rFonts w:hint="default" w:ascii="宋体" w:hAnsi="宋体" w:eastAsia="宋体"/>
                <w:b/>
                <w:szCs w:val="21"/>
                <w:lang w:val="en-US" w:eastAsia="zh-CN"/>
              </w:rPr>
            </w:pPr>
            <w:r>
              <w:rPr>
                <w:rFonts w:hint="eastAsia" w:ascii="宋体" w:hAnsi="宋体"/>
                <w:b/>
                <w:szCs w:val="21"/>
                <w:lang w:val="en-US" w:eastAsia="zh-CN"/>
              </w:rPr>
              <w:t>公司1</w:t>
            </w:r>
          </w:p>
        </w:tc>
        <w:tc>
          <w:tcPr>
            <w:tcW w:w="1146"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公司2</w:t>
            </w:r>
          </w:p>
        </w:tc>
        <w:tc>
          <w:tcPr>
            <w:tcW w:w="982"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公司3</w:t>
            </w:r>
          </w:p>
        </w:tc>
        <w:tc>
          <w:tcPr>
            <w:tcW w:w="105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公司4</w:t>
            </w:r>
          </w:p>
        </w:tc>
        <w:tc>
          <w:tcPr>
            <w:tcW w:w="90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公司5</w:t>
            </w:r>
          </w:p>
        </w:tc>
        <w:tc>
          <w:tcPr>
            <w:tcW w:w="968"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restart"/>
            <w:vAlign w:val="center"/>
          </w:tcPr>
          <w:p>
            <w:pPr>
              <w:adjustRightInd w:val="0"/>
              <w:snapToGrid w:val="0"/>
              <w:spacing w:before="156" w:beforeLines="50"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价格（权值50%）</w:t>
            </w:r>
          </w:p>
        </w:tc>
        <w:tc>
          <w:tcPr>
            <w:tcW w:w="720" w:type="dxa"/>
            <w:vMerge w:val="restart"/>
            <w:vAlign w:val="center"/>
          </w:tcPr>
          <w:p>
            <w:pPr>
              <w:adjustRightInd w:val="0"/>
              <w:snapToGrid w:val="0"/>
              <w:spacing w:before="156" w:beforeLines="50" w:line="360" w:lineRule="auto"/>
              <w:jc w:val="center"/>
              <w:rPr>
                <w:rFonts w:ascii="宋体" w:hAnsi="宋体" w:cs="宋体"/>
                <w:color w:val="000000"/>
                <w:kern w:val="0"/>
                <w:sz w:val="22"/>
                <w:szCs w:val="22"/>
              </w:rPr>
            </w:pPr>
            <w:r>
              <w:rPr>
                <w:rFonts w:hint="eastAsia" w:ascii="宋体" w:hAnsi="宋体" w:cs="宋体"/>
                <w:color w:val="000000"/>
                <w:kern w:val="0"/>
                <w:sz w:val="22"/>
                <w:szCs w:val="22"/>
              </w:rPr>
              <w:t>50分</w:t>
            </w:r>
          </w:p>
        </w:tc>
        <w:tc>
          <w:tcPr>
            <w:tcW w:w="5289" w:type="dxa"/>
            <w:vMerge w:val="restart"/>
            <w:vAlign w:val="center"/>
          </w:tcPr>
          <w:p>
            <w:pPr>
              <w:widowControl/>
              <w:spacing w:before="100" w:beforeAutospacing="1" w:after="100" w:afterAutospacing="1"/>
              <w:jc w:val="left"/>
              <w:rPr>
                <w:rFonts w:ascii="宋体" w:hAnsi="宋体" w:cs="宋体"/>
                <w:color w:val="000000"/>
                <w:kern w:val="0"/>
                <w:sz w:val="22"/>
                <w:szCs w:val="22"/>
              </w:rPr>
            </w:pPr>
            <w:r>
              <w:rPr>
                <w:rFonts w:ascii="宋体" w:hAnsi="宋体" w:cs="宋体"/>
                <w:color w:val="000000"/>
                <w:kern w:val="0"/>
                <w:sz w:val="22"/>
                <w:szCs w:val="22"/>
              </w:rPr>
              <w:t>满足招标文件要求且投标价格最低的投标报价为评标基准价，其价格分为满分。其他投标人的价格分统一按照下列公式计算：</w:t>
            </w:r>
            <w:r>
              <w:rPr>
                <w:rFonts w:hint="eastAsia" w:ascii="宋体" w:hAnsi="宋体" w:cs="宋体"/>
                <w:color w:val="000000"/>
                <w:kern w:val="0"/>
                <w:sz w:val="22"/>
                <w:szCs w:val="22"/>
              </w:rPr>
              <w:t>报价得分＝评标基准价÷投标报价×价格权值×100</w:t>
            </w: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价格：</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continue"/>
            <w:vAlign w:val="center"/>
          </w:tcPr>
          <w:p>
            <w:pPr>
              <w:widowControl/>
              <w:spacing w:before="100" w:beforeAutospacing="1" w:after="100" w:afterAutospacing="1"/>
              <w:jc w:val="left"/>
            </w:pPr>
          </w:p>
        </w:tc>
        <w:tc>
          <w:tcPr>
            <w:tcW w:w="720" w:type="dxa"/>
            <w:vMerge w:val="continue"/>
            <w:vAlign w:val="center"/>
          </w:tcPr>
          <w:p>
            <w:pPr>
              <w:widowControl/>
              <w:spacing w:before="100" w:beforeAutospacing="1" w:after="100" w:afterAutospacing="1"/>
              <w:jc w:val="left"/>
            </w:pPr>
          </w:p>
        </w:tc>
        <w:tc>
          <w:tcPr>
            <w:tcW w:w="5289" w:type="dxa"/>
            <w:vMerge w:val="continue"/>
            <w:vAlign w:val="center"/>
          </w:tcPr>
          <w:p>
            <w:pPr>
              <w:widowControl/>
              <w:spacing w:before="100" w:beforeAutospacing="1" w:after="100" w:afterAutospacing="1"/>
              <w:jc w:val="left"/>
            </w:pP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得分：</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pPr>
              <w:adjustRightInd w:val="0"/>
              <w:snapToGrid w:val="0"/>
              <w:spacing w:before="156" w:beforeLines="50" w:line="360" w:lineRule="auto"/>
              <w:jc w:val="center"/>
              <w:rPr>
                <w:rFonts w:ascii="宋体" w:hAnsi="宋体"/>
                <w:szCs w:val="21"/>
              </w:rPr>
            </w:pPr>
            <w:r>
              <w:rPr>
                <w:rFonts w:hint="eastAsia" w:ascii="宋体" w:hAnsi="宋体" w:cs="宋体"/>
                <w:color w:val="000000"/>
                <w:szCs w:val="21"/>
              </w:rPr>
              <w:t>技术部分（权值40%）</w:t>
            </w:r>
          </w:p>
        </w:tc>
        <w:tc>
          <w:tcPr>
            <w:tcW w:w="1418" w:type="dxa"/>
            <w:vAlign w:val="center"/>
          </w:tcPr>
          <w:p>
            <w:pPr>
              <w:rPr>
                <w:rFonts w:ascii="宋体" w:hAnsi="宋体"/>
                <w:szCs w:val="21"/>
              </w:rPr>
            </w:pPr>
            <w:r>
              <w:rPr>
                <w:rFonts w:hint="eastAsia"/>
              </w:rPr>
              <w:t>设备技术指标、参数、性能</w:t>
            </w:r>
          </w:p>
        </w:tc>
        <w:tc>
          <w:tcPr>
            <w:tcW w:w="720" w:type="dxa"/>
            <w:vAlign w:val="center"/>
          </w:tcPr>
          <w:p>
            <w:pPr>
              <w:jc w:val="center"/>
              <w:rPr>
                <w:rFonts w:ascii="宋体" w:hAnsi="宋体"/>
                <w:szCs w:val="21"/>
              </w:rPr>
            </w:pPr>
            <w:r>
              <w:rPr>
                <w:rFonts w:hint="eastAsia" w:ascii="宋体" w:hAnsi="宋体"/>
              </w:rPr>
              <w:t>40分</w:t>
            </w:r>
          </w:p>
        </w:tc>
        <w:tc>
          <w:tcPr>
            <w:tcW w:w="5289" w:type="dxa"/>
          </w:tcPr>
          <w:p>
            <w:pPr>
              <w:rPr>
                <w:rFonts w:ascii="宋体" w:hAnsi="宋体"/>
                <w:szCs w:val="21"/>
              </w:rPr>
            </w:pPr>
            <w:r>
              <w:rPr>
                <w:rFonts w:hint="eastAsia" w:ascii="宋体" w:hAnsi="宋体"/>
                <w:szCs w:val="21"/>
              </w:rPr>
              <w:t>1、技术参数完全符合招标文件要求的，其技术</w:t>
            </w:r>
            <w:r>
              <w:rPr>
                <w:rFonts w:ascii="宋体" w:hAnsi="宋体"/>
                <w:szCs w:val="21"/>
              </w:rPr>
              <w:t>分为满分</w:t>
            </w:r>
            <w:r>
              <w:rPr>
                <w:rFonts w:hint="eastAsia" w:ascii="宋体" w:hAnsi="宋体"/>
                <w:szCs w:val="21"/>
              </w:rPr>
              <w:t>40分。</w:t>
            </w:r>
          </w:p>
          <w:p>
            <w:pPr>
              <w:rPr>
                <w:rFonts w:ascii="宋体" w:hAnsi="宋体"/>
                <w:szCs w:val="21"/>
              </w:rPr>
            </w:pPr>
            <w:r>
              <w:rPr>
                <w:rFonts w:hint="eastAsia" w:ascii="宋体" w:hAnsi="宋体"/>
                <w:szCs w:val="21"/>
              </w:rPr>
              <w:t>2、技术参数要求条款有偏离的，每项扣分</w:t>
            </w:r>
            <w:r>
              <w:rPr>
                <w:rFonts w:hint="eastAsia" w:ascii="宋体" w:hAnsi="宋体"/>
                <w:szCs w:val="21"/>
                <w:lang w:eastAsia="zh-CN"/>
              </w:rPr>
              <w:t>分值</w:t>
            </w:r>
            <w:r>
              <w:rPr>
                <w:rFonts w:hint="eastAsia" w:ascii="宋体" w:hAnsi="宋体"/>
                <w:szCs w:val="21"/>
                <w:lang w:val="en-US" w:eastAsia="zh-CN"/>
              </w:rPr>
              <w:t>=40/技术参数项</w:t>
            </w:r>
            <w:bookmarkStart w:id="0" w:name="_GoBack"/>
            <w:bookmarkEnd w:id="0"/>
            <w:r>
              <w:rPr>
                <w:rFonts w:hint="eastAsia" w:ascii="宋体" w:hAnsi="宋体"/>
                <w:szCs w:val="21"/>
              </w:rPr>
              <w:t>，扣完技术</w:t>
            </w:r>
            <w:r>
              <w:rPr>
                <w:rFonts w:ascii="宋体" w:hAnsi="宋体"/>
                <w:szCs w:val="21"/>
              </w:rPr>
              <w:t>分</w:t>
            </w:r>
            <w:r>
              <w:rPr>
                <w:rFonts w:hint="eastAsia" w:ascii="宋体" w:hAnsi="宋体"/>
                <w:szCs w:val="21"/>
              </w:rPr>
              <w:t>为止。</w:t>
            </w:r>
          </w:p>
          <w:p>
            <w:pPr>
              <w:rPr>
                <w:rFonts w:ascii="宋体" w:hAnsi="宋体"/>
                <w:szCs w:val="21"/>
              </w:rPr>
            </w:pPr>
            <w:r>
              <w:rPr>
                <w:rFonts w:hint="eastAsia" w:ascii="宋体" w:hAnsi="宋体"/>
                <w:szCs w:val="21"/>
              </w:rPr>
              <w:t>注：偏离：不满足招标参数要求，配置不详，缺漏项，技术参数表述不清的。</w:t>
            </w:r>
          </w:p>
          <w:p>
            <w:pPr>
              <w:rPr>
                <w:rFonts w:ascii="宋体" w:hAnsi="宋体"/>
                <w:szCs w:val="21"/>
              </w:rPr>
            </w:pPr>
            <w:r>
              <w:rPr>
                <w:rFonts w:hint="eastAsia" w:ascii="宋体" w:hAnsi="宋体"/>
                <w:szCs w:val="21"/>
              </w:rPr>
              <w:t>条款数计算：</w:t>
            </w:r>
            <w:r>
              <w:rPr>
                <w:rFonts w:ascii="宋体" w:hAnsi="宋体"/>
                <w:szCs w:val="21"/>
              </w:rPr>
              <w:t>招标文件中，凡编排有单独的中文序数或阿拉伯数字或英文字母序列号等字符的条款算一项商务或技术要求项数</w:t>
            </w:r>
            <w:r>
              <w:rPr>
                <w:rFonts w:hint="eastAsia" w:ascii="宋体" w:hAnsi="宋体"/>
                <w:szCs w:val="21"/>
              </w:rPr>
              <w:t>。</w:t>
            </w:r>
            <w:r>
              <w:rPr>
                <w:rFonts w:ascii="宋体" w:hAnsi="宋体" w:cs="宋体"/>
                <w:color w:val="FF0000"/>
              </w:rPr>
              <w:t xml:space="preserve">                                                       </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1134" w:type="dxa"/>
            <w:vMerge w:val="restart"/>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商务部分</w:t>
            </w:r>
            <w:r>
              <w:rPr>
                <w:rFonts w:hint="eastAsia" w:ascii="宋体" w:hAnsi="宋体" w:cs="宋体"/>
                <w:color w:val="000000"/>
                <w:kern w:val="0"/>
                <w:sz w:val="22"/>
                <w:szCs w:val="22"/>
              </w:rPr>
              <w:t>（权值为10%）</w:t>
            </w:r>
          </w:p>
        </w:tc>
        <w:tc>
          <w:tcPr>
            <w:tcW w:w="1418" w:type="dxa"/>
            <w:tcBorders>
              <w:bottom w:val="single" w:color="auto" w:sz="6" w:space="0"/>
            </w:tcBorders>
            <w:vAlign w:val="center"/>
          </w:tcPr>
          <w:p>
            <w:pPr>
              <w:jc w:val="center"/>
              <w:rPr>
                <w:rFonts w:ascii="宋体" w:hAnsi="宋体"/>
                <w:szCs w:val="21"/>
              </w:rPr>
            </w:pPr>
            <w:r>
              <w:rPr>
                <w:rFonts w:hint="eastAsia" w:ascii="宋体" w:hAnsi="宋体"/>
                <w:szCs w:val="21"/>
              </w:rPr>
              <w:t>售后服务</w:t>
            </w:r>
          </w:p>
        </w:tc>
        <w:tc>
          <w:tcPr>
            <w:tcW w:w="720" w:type="dxa"/>
            <w:vAlign w:val="center"/>
          </w:tcPr>
          <w:p>
            <w:pPr>
              <w:jc w:val="center"/>
              <w:rPr>
                <w:rFonts w:ascii="宋体" w:hAnsi="宋体"/>
                <w:szCs w:val="21"/>
              </w:rPr>
            </w:pPr>
            <w:r>
              <w:rPr>
                <w:rFonts w:ascii="宋体" w:hAnsi="宋体"/>
                <w:szCs w:val="21"/>
              </w:rPr>
              <w:t>7</w:t>
            </w:r>
            <w:r>
              <w:rPr>
                <w:rFonts w:hint="eastAsia" w:ascii="宋体" w:hAnsi="宋体"/>
                <w:szCs w:val="21"/>
              </w:rPr>
              <w:t>分</w:t>
            </w:r>
          </w:p>
        </w:tc>
        <w:tc>
          <w:tcPr>
            <w:tcW w:w="5289" w:type="dxa"/>
          </w:tcPr>
          <w:p>
            <w:pPr>
              <w:spacing w:line="360" w:lineRule="exact"/>
              <w:rPr>
                <w:rFonts w:ascii="宋体" w:hAnsi="宋体"/>
                <w:szCs w:val="21"/>
              </w:rPr>
            </w:pPr>
            <w:r>
              <w:rPr>
                <w:rFonts w:hint="eastAsia" w:ascii="宋体" w:hAnsi="宋体"/>
                <w:szCs w:val="21"/>
              </w:rPr>
              <w:t>1、提供的</w:t>
            </w:r>
            <w:r>
              <w:rPr>
                <w:rFonts w:ascii="宋体" w:hAnsi="宋体"/>
                <w:szCs w:val="21"/>
              </w:rPr>
              <w:t>是</w:t>
            </w:r>
            <w:r>
              <w:rPr>
                <w:rFonts w:hint="eastAsia" w:ascii="宋体" w:hAnsi="宋体"/>
                <w:szCs w:val="21"/>
              </w:rPr>
              <w:t>厂方售后服务承诺书的加</w:t>
            </w:r>
            <w:r>
              <w:rPr>
                <w:rFonts w:ascii="宋体" w:hAnsi="宋体"/>
                <w:szCs w:val="21"/>
              </w:rPr>
              <w:t>1</w:t>
            </w:r>
            <w:r>
              <w:rPr>
                <w:rFonts w:hint="eastAsia" w:ascii="宋体" w:hAnsi="宋体"/>
                <w:szCs w:val="21"/>
              </w:rPr>
              <w:t>分。</w:t>
            </w:r>
          </w:p>
          <w:p>
            <w:pPr>
              <w:spacing w:line="36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提供的</w:t>
            </w:r>
            <w:r>
              <w:rPr>
                <w:rFonts w:hint="eastAsia" w:ascii="宋体" w:hAnsi="宋体"/>
                <w:szCs w:val="21"/>
              </w:rPr>
              <w:t>售后服务承诺书或</w:t>
            </w:r>
            <w:r>
              <w:rPr>
                <w:rFonts w:ascii="宋体" w:hAnsi="宋体"/>
                <w:szCs w:val="21"/>
              </w:rPr>
              <w:t>售后</w:t>
            </w:r>
            <w:r>
              <w:rPr>
                <w:rFonts w:hint="eastAsia" w:ascii="宋体" w:hAnsi="宋体"/>
                <w:szCs w:val="21"/>
              </w:rPr>
              <w:t>服务</w:t>
            </w:r>
            <w:r>
              <w:rPr>
                <w:rFonts w:ascii="宋体" w:hAnsi="宋体"/>
                <w:szCs w:val="21"/>
              </w:rPr>
              <w:t>方案</w:t>
            </w:r>
            <w:r>
              <w:rPr>
                <w:rFonts w:hint="eastAsia" w:ascii="宋体" w:hAnsi="宋体"/>
                <w:szCs w:val="21"/>
              </w:rPr>
              <w:t>明确了①免费质保</w:t>
            </w:r>
            <w:r>
              <w:rPr>
                <w:rFonts w:ascii="宋体" w:hAnsi="宋体"/>
                <w:szCs w:val="21"/>
              </w:rPr>
              <w:t>期限、</w:t>
            </w:r>
            <w:r>
              <w:rPr>
                <w:rFonts w:hint="eastAsia" w:ascii="宋体" w:hAnsi="宋体"/>
                <w:szCs w:val="21"/>
              </w:rPr>
              <w:t>②故障报修</w:t>
            </w:r>
            <w:r>
              <w:rPr>
                <w:rFonts w:ascii="宋体" w:hAnsi="宋体"/>
                <w:szCs w:val="21"/>
              </w:rPr>
              <w:t>响应时间</w:t>
            </w:r>
            <w:r>
              <w:rPr>
                <w:rFonts w:hint="eastAsia" w:ascii="宋体" w:hAnsi="宋体"/>
                <w:szCs w:val="21"/>
              </w:rPr>
              <w:t>及</w:t>
            </w:r>
            <w:r>
              <w:rPr>
                <w:rFonts w:ascii="宋体" w:hAnsi="宋体"/>
                <w:szCs w:val="21"/>
              </w:rPr>
              <w:t>到场时间、</w:t>
            </w:r>
            <w:r>
              <w:rPr>
                <w:rFonts w:hint="eastAsia" w:ascii="宋体" w:hAnsi="宋体"/>
                <w:szCs w:val="21"/>
              </w:rPr>
              <w:t>③售后</w:t>
            </w:r>
            <w:r>
              <w:rPr>
                <w:rFonts w:ascii="宋体" w:hAnsi="宋体"/>
                <w:szCs w:val="21"/>
              </w:rPr>
              <w:t>服务体系健全（售后</w:t>
            </w:r>
            <w:r>
              <w:rPr>
                <w:rFonts w:hint="eastAsia" w:ascii="宋体" w:hAnsi="宋体"/>
                <w:szCs w:val="21"/>
              </w:rPr>
              <w:t>网</w:t>
            </w:r>
            <w:r>
              <w:rPr>
                <w:rFonts w:ascii="宋体" w:hAnsi="宋体"/>
                <w:szCs w:val="21"/>
              </w:rPr>
              <w:t>点</w:t>
            </w:r>
            <w:r>
              <w:rPr>
                <w:rFonts w:hint="eastAsia" w:ascii="宋体" w:hAnsi="宋体"/>
                <w:szCs w:val="21"/>
              </w:rPr>
              <w:t>地址</w:t>
            </w:r>
            <w:r>
              <w:rPr>
                <w:rFonts w:ascii="宋体" w:hAnsi="宋体"/>
                <w:szCs w:val="21"/>
              </w:rPr>
              <w:t>及</w:t>
            </w:r>
            <w:r>
              <w:rPr>
                <w:rFonts w:hint="eastAsia" w:ascii="宋体" w:hAnsi="宋体"/>
                <w:szCs w:val="21"/>
              </w:rPr>
              <w:t>联络</w:t>
            </w:r>
            <w:r>
              <w:rPr>
                <w:rFonts w:ascii="宋体" w:hAnsi="宋体"/>
                <w:szCs w:val="21"/>
              </w:rPr>
              <w:t>方式</w:t>
            </w:r>
            <w:r>
              <w:rPr>
                <w:rFonts w:hint="eastAsia" w:ascii="宋体" w:hAnsi="宋体"/>
                <w:szCs w:val="21"/>
              </w:rPr>
              <w:t>）</w:t>
            </w:r>
            <w:r>
              <w:rPr>
                <w:rFonts w:ascii="宋体" w:hAnsi="宋体"/>
                <w:szCs w:val="21"/>
              </w:rPr>
              <w:t>、</w:t>
            </w:r>
            <w:r>
              <w:rPr>
                <w:rFonts w:hint="eastAsia" w:ascii="宋体" w:hAnsi="宋体"/>
                <w:szCs w:val="21"/>
              </w:rPr>
              <w:t>④报修</w:t>
            </w:r>
            <w:r>
              <w:rPr>
                <w:rFonts w:ascii="宋体" w:hAnsi="宋体"/>
                <w:szCs w:val="21"/>
              </w:rPr>
              <w:t>期应</w:t>
            </w:r>
            <w:r>
              <w:rPr>
                <w:rFonts w:hint="eastAsia" w:ascii="宋体" w:hAnsi="宋体"/>
                <w:szCs w:val="21"/>
              </w:rPr>
              <w:t>急</w:t>
            </w:r>
            <w:r>
              <w:rPr>
                <w:rFonts w:ascii="宋体" w:hAnsi="宋体"/>
                <w:szCs w:val="21"/>
              </w:rPr>
              <w:t>措施</w:t>
            </w:r>
            <w:r>
              <w:rPr>
                <w:rFonts w:hint="eastAsia" w:ascii="宋体" w:hAnsi="宋体"/>
                <w:szCs w:val="21"/>
              </w:rPr>
              <w:t>、⑤操作</w:t>
            </w:r>
            <w:r>
              <w:rPr>
                <w:rFonts w:ascii="宋体" w:hAnsi="宋体"/>
                <w:szCs w:val="21"/>
              </w:rPr>
              <w:t>培训计划</w:t>
            </w:r>
          </w:p>
          <w:p>
            <w:pPr>
              <w:spacing w:line="360" w:lineRule="exact"/>
              <w:rPr>
                <w:rFonts w:ascii="宋体" w:hAnsi="宋体"/>
                <w:szCs w:val="21"/>
              </w:rPr>
            </w:pPr>
            <w:r>
              <w:rPr>
                <w:rFonts w:ascii="宋体" w:hAnsi="宋体"/>
                <w:szCs w:val="21"/>
              </w:rPr>
              <w:t>该5</w:t>
            </w:r>
            <w:r>
              <w:rPr>
                <w:rFonts w:hint="eastAsia" w:ascii="宋体" w:hAnsi="宋体"/>
                <w:szCs w:val="21"/>
              </w:rPr>
              <w:t>项</w:t>
            </w:r>
            <w:r>
              <w:rPr>
                <w:rFonts w:ascii="宋体" w:hAnsi="宋体"/>
                <w:szCs w:val="21"/>
              </w:rPr>
              <w:t>每</w:t>
            </w:r>
            <w:r>
              <w:rPr>
                <w:rFonts w:hint="eastAsia" w:ascii="宋体" w:hAnsi="宋体"/>
                <w:szCs w:val="21"/>
              </w:rPr>
              <w:t>缺漏</w:t>
            </w:r>
            <w:r>
              <w:rPr>
                <w:rFonts w:ascii="宋体" w:hAnsi="宋体"/>
                <w:szCs w:val="21"/>
              </w:rPr>
              <w:t>一项</w:t>
            </w:r>
            <w:r>
              <w:rPr>
                <w:rFonts w:hint="eastAsia" w:ascii="宋体" w:hAnsi="宋体"/>
                <w:szCs w:val="21"/>
              </w:rPr>
              <w:t>扣</w:t>
            </w:r>
            <w:r>
              <w:rPr>
                <w:rFonts w:ascii="宋体" w:hAnsi="宋体"/>
                <w:szCs w:val="21"/>
              </w:rPr>
              <w:t>5</w:t>
            </w:r>
            <w:r>
              <w:rPr>
                <w:rFonts w:hint="eastAsia" w:ascii="宋体" w:hAnsi="宋体"/>
                <w:szCs w:val="21"/>
              </w:rPr>
              <w:t>分</w:t>
            </w:r>
          </w:p>
          <w:p>
            <w:pPr>
              <w:spacing w:line="360" w:lineRule="exact"/>
              <w:rPr>
                <w:rFonts w:ascii="宋体" w:hAnsi="宋体"/>
                <w:szCs w:val="21"/>
              </w:rPr>
            </w:pPr>
            <w:r>
              <w:rPr>
                <w:rFonts w:ascii="宋体" w:hAnsi="宋体"/>
                <w:szCs w:val="21"/>
              </w:rPr>
              <w:t>4</w:t>
            </w:r>
            <w:r>
              <w:rPr>
                <w:rFonts w:hint="eastAsia" w:ascii="宋体" w:hAnsi="宋体"/>
                <w:szCs w:val="21"/>
              </w:rPr>
              <w:t>、质保期在招标要求基础上再增加1年及以上的加1分，最高可加</w:t>
            </w:r>
            <w:r>
              <w:rPr>
                <w:rFonts w:hint="eastAsia" w:ascii="宋体" w:hAnsi="宋体"/>
                <w:szCs w:val="21"/>
                <w:lang w:val="en-US" w:eastAsia="zh-CN"/>
              </w:rPr>
              <w:t>2</w:t>
            </w:r>
            <w:r>
              <w:rPr>
                <w:rFonts w:hint="eastAsia" w:ascii="宋体" w:hAnsi="宋体"/>
                <w:szCs w:val="21"/>
              </w:rPr>
              <w:t>分。</w:t>
            </w:r>
          </w:p>
        </w:tc>
        <w:tc>
          <w:tcPr>
            <w:tcW w:w="1131" w:type="dxa"/>
          </w:tcPr>
          <w:p>
            <w:pPr>
              <w:spacing w:line="360" w:lineRule="exact"/>
              <w:rPr>
                <w:rFonts w:ascii="宋体" w:hAnsi="宋体"/>
                <w:szCs w:val="21"/>
              </w:rPr>
            </w:pPr>
          </w:p>
        </w:tc>
        <w:tc>
          <w:tcPr>
            <w:tcW w:w="1146" w:type="dxa"/>
          </w:tcPr>
          <w:p>
            <w:pPr>
              <w:spacing w:line="360" w:lineRule="exact"/>
              <w:rPr>
                <w:rFonts w:ascii="宋体" w:hAnsi="宋体"/>
                <w:szCs w:val="21"/>
              </w:rPr>
            </w:pPr>
          </w:p>
        </w:tc>
        <w:tc>
          <w:tcPr>
            <w:tcW w:w="982" w:type="dxa"/>
          </w:tcPr>
          <w:p>
            <w:pPr>
              <w:spacing w:line="360" w:lineRule="exact"/>
              <w:rPr>
                <w:rFonts w:ascii="宋体" w:hAnsi="宋体"/>
                <w:szCs w:val="21"/>
              </w:rPr>
            </w:pPr>
          </w:p>
        </w:tc>
        <w:tc>
          <w:tcPr>
            <w:tcW w:w="1050" w:type="dxa"/>
          </w:tcPr>
          <w:p>
            <w:pPr>
              <w:spacing w:line="360" w:lineRule="exact"/>
              <w:rPr>
                <w:rFonts w:ascii="宋体" w:hAnsi="宋体"/>
                <w:szCs w:val="21"/>
              </w:rPr>
            </w:pPr>
          </w:p>
        </w:tc>
        <w:tc>
          <w:tcPr>
            <w:tcW w:w="900" w:type="dxa"/>
          </w:tcPr>
          <w:p>
            <w:pPr>
              <w:spacing w:line="360" w:lineRule="exact"/>
              <w:rPr>
                <w:rFonts w:ascii="宋体" w:hAnsi="宋体"/>
                <w:szCs w:val="21"/>
              </w:rPr>
            </w:pPr>
          </w:p>
        </w:tc>
        <w:tc>
          <w:tcPr>
            <w:tcW w:w="968" w:type="dxa"/>
          </w:tcPr>
          <w:p>
            <w:pPr>
              <w:spacing w:line="36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经营业绩</w:t>
            </w:r>
          </w:p>
        </w:tc>
        <w:tc>
          <w:tcPr>
            <w:tcW w:w="720" w:type="dxa"/>
            <w:vAlign w:val="center"/>
          </w:tcPr>
          <w:p>
            <w:pPr>
              <w:jc w:val="center"/>
              <w:rPr>
                <w:rFonts w:ascii="宋体" w:hAnsi="宋体"/>
                <w:szCs w:val="21"/>
              </w:rPr>
            </w:pPr>
            <w:r>
              <w:rPr>
                <w:rFonts w:hint="eastAsia" w:ascii="宋体" w:hAnsi="宋体"/>
                <w:szCs w:val="21"/>
              </w:rPr>
              <w:t>2分</w:t>
            </w:r>
          </w:p>
        </w:tc>
        <w:tc>
          <w:tcPr>
            <w:tcW w:w="5289" w:type="dxa"/>
          </w:tcPr>
          <w:p>
            <w:pPr>
              <w:rPr>
                <w:rFonts w:ascii="宋体" w:hAnsi="宋体"/>
                <w:szCs w:val="21"/>
              </w:rPr>
            </w:pPr>
            <w:r>
              <w:rPr>
                <w:rFonts w:hint="eastAsia" w:ascii="宋体" w:hAnsi="宋体"/>
                <w:szCs w:val="21"/>
              </w:rPr>
              <w:t>提供201</w:t>
            </w:r>
            <w:r>
              <w:rPr>
                <w:rFonts w:hint="eastAsia" w:ascii="宋体" w:hAnsi="宋体"/>
                <w:szCs w:val="21"/>
                <w:lang w:val="en-US" w:eastAsia="zh-CN"/>
              </w:rPr>
              <w:t>9</w:t>
            </w:r>
            <w:r>
              <w:rPr>
                <w:rFonts w:hint="eastAsia" w:ascii="宋体" w:hAnsi="宋体"/>
                <w:szCs w:val="21"/>
              </w:rPr>
              <w:t>年1月1日起至今的同类项目在国内销售的，每提供1份成交合同或中标通知书的计</w:t>
            </w:r>
            <w:r>
              <w:rPr>
                <w:rFonts w:ascii="宋体" w:hAnsi="宋体"/>
                <w:szCs w:val="21"/>
              </w:rPr>
              <w:t>1</w:t>
            </w:r>
            <w:r>
              <w:rPr>
                <w:rFonts w:hint="eastAsia" w:ascii="宋体" w:hAnsi="宋体"/>
                <w:szCs w:val="21"/>
              </w:rPr>
              <w:t>分，最多可得2分，均须提供复印件。</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投标书编制</w:t>
            </w:r>
          </w:p>
        </w:tc>
        <w:tc>
          <w:tcPr>
            <w:tcW w:w="720" w:type="dxa"/>
            <w:vAlign w:val="center"/>
          </w:tcPr>
          <w:p>
            <w:pPr>
              <w:jc w:val="center"/>
              <w:rPr>
                <w:rFonts w:ascii="宋体" w:hAnsi="宋体"/>
                <w:szCs w:val="21"/>
              </w:rPr>
            </w:pPr>
            <w:r>
              <w:rPr>
                <w:rFonts w:hint="eastAsia" w:ascii="宋体" w:hAnsi="宋体"/>
                <w:szCs w:val="21"/>
              </w:rPr>
              <w:t>1分</w:t>
            </w:r>
          </w:p>
        </w:tc>
        <w:tc>
          <w:tcPr>
            <w:tcW w:w="5289" w:type="dxa"/>
          </w:tcPr>
          <w:p>
            <w:pPr>
              <w:spacing w:line="360" w:lineRule="exact"/>
              <w:rPr>
                <w:rFonts w:ascii="宋体" w:hAnsi="宋体"/>
                <w:szCs w:val="21"/>
              </w:rPr>
            </w:pPr>
            <w:r>
              <w:rPr>
                <w:rFonts w:hint="eastAsia" w:ascii="宋体" w:hAnsi="宋体"/>
                <w:szCs w:val="21"/>
              </w:rPr>
              <w:t>投标书按招标文件规定的格式、顺序编制，有目录、编页码、装订成册，书面整洁无涂改，没有缺漏项，价格数量等计算准确的，计1分；不符合要求的，每处扣0.</w:t>
            </w:r>
            <w:r>
              <w:rPr>
                <w:rFonts w:ascii="宋体" w:hAnsi="宋体"/>
                <w:szCs w:val="21"/>
              </w:rPr>
              <w:t>2</w:t>
            </w:r>
            <w:r>
              <w:rPr>
                <w:rFonts w:hint="eastAsia" w:ascii="宋体" w:hAnsi="宋体"/>
                <w:szCs w:val="21"/>
              </w:rPr>
              <w:t>分，扣完为止。</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8561" w:type="dxa"/>
            <w:gridSpan w:val="4"/>
            <w:vAlign w:val="center"/>
          </w:tcPr>
          <w:p>
            <w:pPr>
              <w:spacing w:line="360" w:lineRule="exact"/>
              <w:jc w:val="center"/>
              <w:rPr>
                <w:rFonts w:hint="eastAsia" w:ascii="宋体" w:hAnsi="宋体"/>
                <w:szCs w:val="21"/>
              </w:rPr>
            </w:pPr>
            <w:r>
              <w:rPr>
                <w:rFonts w:hint="eastAsia" w:ascii="仿宋_GB2312" w:hAnsi="宋体" w:cs="宋体"/>
                <w:b/>
                <w:bCs/>
                <w:color w:val="000000"/>
                <w:kern w:val="0"/>
                <w:sz w:val="32"/>
                <w:szCs w:val="52"/>
                <w:lang w:val="en-US" w:eastAsia="zh-CN"/>
              </w:rPr>
              <w:t>总计得分</w:t>
            </w:r>
            <w:r>
              <w:rPr>
                <w:rFonts w:hint="eastAsia" w:ascii="仿宋_GB2312" w:hAnsi="宋体" w:cs="宋体"/>
                <w:b/>
                <w:bCs/>
                <w:color w:val="000000"/>
                <w:kern w:val="0"/>
                <w:sz w:val="18"/>
                <w:szCs w:val="28"/>
                <w:lang w:val="en-US" w:eastAsia="zh-CN"/>
              </w:rPr>
              <w:t>：</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4738" w:type="dxa"/>
            <w:gridSpan w:val="10"/>
            <w:vAlign w:val="top"/>
          </w:tcPr>
          <w:p>
            <w:pPr>
              <w:spacing w:line="360" w:lineRule="exact"/>
              <w:rPr>
                <w:rFonts w:hint="eastAsia" w:ascii="宋体" w:hAnsi="宋体"/>
                <w:b/>
                <w:bCs/>
                <w:szCs w:val="21"/>
                <w:lang w:val="en-US" w:eastAsia="zh-CN"/>
              </w:rPr>
            </w:pPr>
            <w:r>
              <w:rPr>
                <w:rFonts w:hint="eastAsia" w:ascii="宋体" w:hAnsi="宋体"/>
                <w:b/>
                <w:bCs/>
                <w:szCs w:val="21"/>
                <w:lang w:val="en-US" w:eastAsia="zh-CN"/>
              </w:rPr>
              <w:t>评分人员签名：</w:t>
            </w:r>
          </w:p>
          <w:p>
            <w:pPr>
              <w:spacing w:line="360" w:lineRule="exact"/>
              <w:rPr>
                <w:rFonts w:hint="eastAsia" w:ascii="宋体" w:hAnsi="宋体"/>
                <w:b/>
                <w:bCs/>
                <w:szCs w:val="21"/>
                <w:lang w:val="en-US" w:eastAsia="zh-CN"/>
              </w:rPr>
            </w:pPr>
          </w:p>
          <w:p>
            <w:pPr>
              <w:spacing w:line="360" w:lineRule="exact"/>
              <w:rPr>
                <w:rFonts w:hint="default" w:ascii="宋体" w:hAnsi="宋体"/>
                <w:b/>
                <w:bCs/>
                <w:szCs w:val="21"/>
                <w:lang w:val="en-US" w:eastAsia="zh-CN"/>
              </w:rPr>
            </w:pPr>
            <w:r>
              <w:rPr>
                <w:rFonts w:hint="eastAsia" w:ascii="宋体" w:hAnsi="宋体"/>
                <w:b/>
                <w:bCs/>
                <w:szCs w:val="21"/>
                <w:lang w:val="en-US" w:eastAsia="zh-CN"/>
              </w:rPr>
              <w:t xml:space="preserve">                                                                                                         年  月   日</w:t>
            </w:r>
          </w:p>
        </w:tc>
      </w:tr>
    </w:tbl>
    <w:p>
      <w:pPr>
        <w:adjustRightInd w:val="0"/>
        <w:snapToGrid w:val="0"/>
        <w:spacing w:before="156" w:beforeLines="50" w:line="360" w:lineRule="auto"/>
        <w:jc w:val="center"/>
        <w:rPr>
          <w:rFonts w:hint="eastAsia" w:ascii="宋体" w:hAnsi="宋体"/>
          <w:b/>
          <w:bCs/>
          <w:sz w:val="28"/>
          <w:szCs w:val="28"/>
          <w:lang w:val="en-US" w:eastAsia="zh-CN"/>
        </w:rPr>
      </w:pPr>
    </w:p>
    <w:p>
      <w:pPr>
        <w:rPr>
          <w:rFonts w:ascii="新宋体" w:hAnsi="新宋体" w:eastAsia="新宋体"/>
          <w:spacing w:val="-2"/>
          <w:szCs w:val="21"/>
        </w:rPr>
      </w:pPr>
      <w:r>
        <w:rPr>
          <w:rFonts w:hint="eastAsia"/>
        </w:rPr>
        <w:t>注：1、</w:t>
      </w:r>
      <w:r>
        <w:rPr>
          <w:rFonts w:hint="eastAsia" w:ascii="宋体" w:hAnsi="宋体"/>
          <w:szCs w:val="21"/>
        </w:rPr>
        <w:t>标“</w:t>
      </w:r>
      <w:r>
        <w:rPr>
          <w:rFonts w:hint="eastAsia" w:ascii="新宋体" w:hAnsi="新宋体" w:eastAsia="新宋体"/>
          <w:spacing w:val="-2"/>
          <w:szCs w:val="21"/>
        </w:rPr>
        <w:t>★</w:t>
      </w:r>
      <w:r>
        <w:rPr>
          <w:rFonts w:hint="eastAsia" w:ascii="宋体" w:hAnsi="宋体"/>
          <w:szCs w:val="21"/>
        </w:rPr>
        <w:t>”和“*”号款</w:t>
      </w:r>
      <w:r>
        <w:rPr>
          <w:rFonts w:hint="eastAsia" w:ascii="新宋体" w:hAnsi="新宋体" w:eastAsia="新宋体"/>
          <w:spacing w:val="-2"/>
          <w:szCs w:val="21"/>
        </w:rPr>
        <w:t>为实质性响应项，任何一项有负偏离，取消投标人资格；</w:t>
      </w:r>
    </w:p>
    <w:p>
      <w:r>
        <w:rPr>
          <w:rFonts w:hint="eastAsia" w:ascii="新宋体" w:hAnsi="新宋体" w:eastAsia="新宋体"/>
          <w:spacing w:val="-2"/>
          <w:szCs w:val="21"/>
        </w:rPr>
        <w:t xml:space="preserve">    2、</w:t>
      </w:r>
      <w:r>
        <w:rPr>
          <w:rFonts w:hint="eastAsia" w:ascii="宋体" w:hAnsi="宋体"/>
          <w:color w:val="000000"/>
          <w:szCs w:val="21"/>
        </w:rPr>
        <w:t>非实质性商务</w:t>
      </w:r>
      <w:r>
        <w:rPr>
          <w:rFonts w:hint="eastAsia" w:ascii="宋体" w:hAnsi="宋体"/>
          <w:color w:val="000000"/>
          <w:spacing w:val="4"/>
          <w:szCs w:val="21"/>
        </w:rPr>
        <w:t>和</w:t>
      </w:r>
      <w:r>
        <w:rPr>
          <w:rFonts w:hint="eastAsia" w:ascii="宋体" w:hAnsi="宋体"/>
          <w:color w:val="000000"/>
          <w:szCs w:val="21"/>
        </w:rPr>
        <w:t>技术条款偏离项数之和超过</w:t>
      </w:r>
      <w:r>
        <w:rPr>
          <w:rFonts w:hint="eastAsia" w:ascii="宋体" w:hAnsi="宋体"/>
          <w:color w:val="FF0000"/>
          <w:szCs w:val="21"/>
          <w:u w:val="single"/>
        </w:rPr>
        <w:t xml:space="preserve"> </w:t>
      </w:r>
      <w:r>
        <w:rPr>
          <w:rFonts w:hint="eastAsia" w:ascii="宋体" w:hAnsi="宋体"/>
          <w:color w:val="FF0000"/>
          <w:szCs w:val="21"/>
          <w:u w:val="single"/>
          <w:lang w:val="en-US" w:eastAsia="zh-CN"/>
        </w:rPr>
        <w:t>5</w:t>
      </w:r>
      <w:r>
        <w:rPr>
          <w:rFonts w:hint="eastAsia" w:ascii="宋体" w:hAnsi="宋体"/>
          <w:color w:val="FF0000"/>
          <w:szCs w:val="21"/>
          <w:u w:val="single"/>
        </w:rPr>
        <w:t xml:space="preserve">项 </w:t>
      </w:r>
      <w:r>
        <w:rPr>
          <w:rFonts w:hint="eastAsia" w:ascii="宋体" w:hAnsi="宋体"/>
          <w:color w:val="000000"/>
          <w:szCs w:val="21"/>
        </w:rPr>
        <w:t>将导致无效投标。</w:t>
      </w:r>
    </w:p>
    <w:p/>
    <w:p/>
    <w:p>
      <w:pPr>
        <w:adjustRightInd w:val="0"/>
        <w:snapToGrid w:val="0"/>
        <w:spacing w:before="156" w:beforeLines="50" w:line="360" w:lineRule="auto"/>
        <w:jc w:val="left"/>
        <w:rPr>
          <w:rFonts w:asciiTheme="minorEastAsia" w:hAnsiTheme="minorEastAsia" w:eastAsiaTheme="minorEastAsia"/>
          <w:bCs/>
          <w:szCs w:val="21"/>
        </w:rPr>
      </w:pPr>
    </w:p>
    <w:sectPr>
      <w:pgSz w:w="16838" w:h="11906" w:orient="landscape"/>
      <w:pgMar w:top="124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7B"/>
    <w:rsid w:val="00023715"/>
    <w:rsid w:val="000E58C8"/>
    <w:rsid w:val="0019798B"/>
    <w:rsid w:val="00366A43"/>
    <w:rsid w:val="0060110A"/>
    <w:rsid w:val="006A2472"/>
    <w:rsid w:val="00770F44"/>
    <w:rsid w:val="009420BE"/>
    <w:rsid w:val="0099406B"/>
    <w:rsid w:val="00BE237B"/>
    <w:rsid w:val="00ED3A44"/>
    <w:rsid w:val="00F7579E"/>
    <w:rsid w:val="0B8A3827"/>
    <w:rsid w:val="1C2C637C"/>
    <w:rsid w:val="2069412A"/>
    <w:rsid w:val="219A7C30"/>
    <w:rsid w:val="31A76386"/>
    <w:rsid w:val="32531D89"/>
    <w:rsid w:val="32DA54BB"/>
    <w:rsid w:val="39A700C1"/>
    <w:rsid w:val="3D8719FD"/>
    <w:rsid w:val="3E1801AB"/>
    <w:rsid w:val="3FD57736"/>
    <w:rsid w:val="430A1DED"/>
    <w:rsid w:val="56170215"/>
    <w:rsid w:val="5A81253D"/>
    <w:rsid w:val="5FAF36A8"/>
    <w:rsid w:val="658E7BC0"/>
    <w:rsid w:val="67C26353"/>
    <w:rsid w:val="6D2D5A8D"/>
    <w:rsid w:val="7225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line="360" w:lineRule="auto"/>
      <w:outlineLvl w:val="1"/>
    </w:pPr>
    <w:rPr>
      <w:rFonts w:ascii="Arial" w:hAnsi="Arial"/>
      <w:b/>
      <w:bCs/>
      <w:sz w:val="24"/>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0"/>
    <w:rPr>
      <w:rFonts w:ascii="Arial" w:hAnsi="Arial" w:eastAsia="宋体" w:cs="Times New Roman"/>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205</Words>
  <Characters>1171</Characters>
  <Lines>9</Lines>
  <Paragraphs>2</Paragraphs>
  <TotalTime>47</TotalTime>
  <ScaleCrop>false</ScaleCrop>
  <LinksUpToDate>false</LinksUpToDate>
  <CharactersWithSpaces>1374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2021-12-17T11:21:00Z</dcterms:created>
  <dc:creator>微软用户</dc:creator>
  <cp:lastModifiedBy>杨娟</cp:lastModifiedBy>
  <cp:lastPrinted>2022-01-17T06:33:51Z</cp:lastPrinted>
  <dcterms:modified xsi:type="dcterms:W3CDTF">2022-01-17T06:41:56Z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11E5303D08B441369B56AE3B7BA36970</vt:lpwstr>
  </property>
</Properties>
</file>