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napToGrid w:val="0"/>
        <w:jc w:val="center"/>
        <w:rPr>
          <w:rFonts w:ascii="Arial" w:hAnsi="Arial" w:eastAsia="方正小标宋简体" w:cs="Arial"/>
          <w:color w:val="auto"/>
          <w:sz w:val="72"/>
          <w:szCs w:val="72"/>
        </w:rPr>
      </w:pPr>
      <w:bookmarkStart w:id="0" w:name="_Toc16523570"/>
    </w:p>
    <w:p>
      <w:pPr>
        <w:pStyle w:val="2"/>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2"/>
        <w:snapToGrid w:val="0"/>
        <w:jc w:val="center"/>
        <w:rPr>
          <w:rFonts w:ascii="Arial" w:hAnsi="Arial" w:eastAsia="方正小标宋简体" w:cs="Arial"/>
          <w:sz w:val="72"/>
          <w:szCs w:val="72"/>
        </w:rPr>
      </w:pPr>
    </w:p>
    <w:p>
      <w:pPr>
        <w:pStyle w:val="2"/>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pStyle w:val="2"/>
        <w:snapToGrid w:val="0"/>
        <w:jc w:val="center"/>
        <w:rPr>
          <w:rFonts w:ascii="Arial" w:hAnsi="Arial" w:cs="Arial"/>
          <w:sz w:val="32"/>
          <w:szCs w:val="32"/>
        </w:rPr>
      </w:pPr>
    </w:p>
    <w:p>
      <w:pPr>
        <w:spacing w:line="360" w:lineRule="auto"/>
        <w:rPr>
          <w:rFonts w:hint="eastAsia"/>
          <w:bCs/>
          <w:sz w:val="32"/>
          <w:szCs w:val="32"/>
        </w:rPr>
      </w:pP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w:t>
      </w:r>
      <w:bookmarkStart w:id="5" w:name="_GoBack"/>
      <w:r>
        <w:rPr>
          <w:rFonts w:hint="eastAsia" w:cs="Times New Roman"/>
          <w:b/>
          <w:bCs/>
          <w:kern w:val="44"/>
          <w:sz w:val="32"/>
          <w:szCs w:val="32"/>
          <w:lang w:val="en-US" w:eastAsia="zh-CN" w:bidi="ar-SA"/>
        </w:rPr>
        <w:t>半自动体外除颤器</w:t>
      </w:r>
      <w:bookmarkEnd w:id="5"/>
      <w:r>
        <w:rPr>
          <w:rFonts w:hint="eastAsia" w:ascii="Times New Roman" w:hAnsi="Times New Roman" w:eastAsia="宋体" w:cs="Times New Roman"/>
          <w:b/>
          <w:bCs/>
          <w:kern w:val="44"/>
          <w:sz w:val="32"/>
          <w:szCs w:val="32"/>
          <w:lang w:val="en-US" w:eastAsia="zh-CN" w:bidi="ar-SA"/>
        </w:rPr>
        <w:t>）</w:t>
      </w:r>
    </w:p>
    <w:p>
      <w:pPr>
        <w:pStyle w:val="6"/>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六</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ascii="宋体" w:hAnsi="宋体" w:cs="宋体"/>
          <w:color w:val="auto"/>
          <w:sz w:val="44"/>
          <w:szCs w:val="44"/>
          <w:lang w:val="en-US" w:eastAsia="zh-CN"/>
        </w:rPr>
      </w:pPr>
    </w:p>
    <w:p>
      <w:pPr>
        <w:pStyle w:val="6"/>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半自动体外除颤器</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半自动体外除颤器</w:t>
      </w:r>
      <w:r>
        <w:rPr>
          <w:rFonts w:hint="eastAsia" w:asciiTheme="minorEastAsia" w:hAnsiTheme="minorEastAsia" w:eastAsiaTheme="minorEastAsia" w:cstheme="minorEastAsia"/>
          <w:b w:val="0"/>
          <w:bCs/>
          <w:color w:val="auto"/>
          <w:sz w:val="28"/>
          <w:szCs w:val="28"/>
          <w:lang w:val="en-US" w:eastAsia="zh-CN"/>
        </w:rPr>
        <w:t>采购项目</w:t>
      </w:r>
    </w:p>
    <w:p>
      <w:pPr>
        <w:pStyle w:val="2"/>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2"/>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2"/>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2"/>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2"/>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11"/>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708"/>
        <w:gridCol w:w="1018"/>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70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018"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858"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70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半自动体外除颤器</w:t>
            </w:r>
          </w:p>
        </w:tc>
        <w:tc>
          <w:tcPr>
            <w:tcW w:w="1018"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4</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8</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10"/>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2</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11"/>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3"/>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0"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半自动体外除颤器招标参数</w:t>
            </w:r>
          </w:p>
        </w:tc>
        <w:tc>
          <w:tcPr>
            <w:tcW w:w="9491" w:type="dxa"/>
            <w:vAlign w:val="center"/>
          </w:tcPr>
          <w:p>
            <w:pPr>
              <w:spacing w:line="360" w:lineRule="auto"/>
              <w:rPr>
                <w:rFonts w:hint="default" w:ascii="宋体" w:hAnsi="宋体" w:eastAsia="宋体" w:cs="宋体"/>
                <w:b/>
                <w:sz w:val="28"/>
                <w:szCs w:val="28"/>
                <w:lang w:val="en-US" w:eastAsia="zh-CN"/>
              </w:rPr>
            </w:pPr>
            <w:r>
              <w:rPr>
                <w:rFonts w:hint="eastAsia" w:ascii="宋体" w:hAnsi="宋体" w:eastAsia="宋体" w:cs="宋体"/>
                <w:b/>
                <w:sz w:val="28"/>
                <w:szCs w:val="28"/>
                <w:lang w:val="en-US" w:eastAsia="zh-CN"/>
              </w:rPr>
              <w:t>一、技术参数</w:t>
            </w:r>
          </w:p>
          <w:p>
            <w:pPr>
              <w:pStyle w:val="14"/>
              <w:numPr>
                <w:ilvl w:val="0"/>
                <w:numId w:val="2"/>
              </w:numPr>
              <w:spacing w:line="360" w:lineRule="auto"/>
              <w:ind w:firstLineChars="0"/>
              <w:rPr>
                <w:rFonts w:hint="eastAsia"/>
                <w:sz w:val="24"/>
                <w:lang w:val="en-US" w:eastAsia="zh-CN"/>
              </w:rPr>
            </w:pPr>
            <w:r>
              <w:rPr>
                <w:rFonts w:hint="eastAsia"/>
                <w:sz w:val="24"/>
              </w:rPr>
              <w:t xml:space="preserve"> 安全性：IP55防尘防水等级；</w:t>
            </w:r>
          </w:p>
          <w:p>
            <w:pPr>
              <w:numPr>
                <w:ilvl w:val="0"/>
                <w:numId w:val="2"/>
              </w:numPr>
              <w:spacing w:line="360" w:lineRule="auto"/>
              <w:ind w:left="360" w:leftChars="0" w:hanging="360" w:firstLineChars="0"/>
              <w:rPr>
                <w:rFonts w:hint="eastAsia"/>
                <w:sz w:val="24"/>
              </w:rPr>
            </w:pPr>
            <w:r>
              <w:rPr>
                <w:rFonts w:hint="eastAsia"/>
                <w:sz w:val="24"/>
              </w:rPr>
              <w:t>安全要求：符合GB 9706.1-2007、GB 9706.8-2009标准</w:t>
            </w:r>
          </w:p>
          <w:p>
            <w:pPr>
              <w:numPr>
                <w:ilvl w:val="0"/>
                <w:numId w:val="2"/>
              </w:numPr>
              <w:spacing w:line="360" w:lineRule="auto"/>
              <w:ind w:left="360" w:leftChars="0" w:hanging="360" w:firstLineChars="0"/>
              <w:rPr>
                <w:rFonts w:hint="eastAsia"/>
                <w:sz w:val="24"/>
              </w:rPr>
            </w:pPr>
            <w:r>
              <w:rPr>
                <w:rFonts w:hint="eastAsia"/>
                <w:sz w:val="24"/>
              </w:rPr>
              <w:t>电磁兼容要求：符合YY 0505-2012及GB</w:t>
            </w:r>
            <w:r>
              <w:rPr>
                <w:sz w:val="24"/>
              </w:rPr>
              <w:t xml:space="preserve"> </w:t>
            </w:r>
            <w:r>
              <w:rPr>
                <w:rFonts w:hint="eastAsia"/>
                <w:sz w:val="24"/>
              </w:rPr>
              <w:t>9706.8-2009标准</w:t>
            </w:r>
          </w:p>
          <w:p>
            <w:pPr>
              <w:spacing w:line="360" w:lineRule="auto"/>
              <w:rPr>
                <w:rFonts w:hint="eastAsia"/>
                <w:sz w:val="24"/>
              </w:rPr>
            </w:pPr>
            <w:r>
              <w:rPr>
                <w:rFonts w:hint="eastAsia"/>
                <w:sz w:val="24"/>
                <w:lang w:val="en-US" w:eastAsia="zh-CN"/>
              </w:rPr>
              <w:t>4</w:t>
            </w:r>
            <w:r>
              <w:rPr>
                <w:rFonts w:hint="eastAsia"/>
                <w:sz w:val="24"/>
              </w:rPr>
              <w:t>. 防摔性：能承受1.5m高度跌落无损 </w:t>
            </w:r>
          </w:p>
          <w:p>
            <w:pPr>
              <w:spacing w:line="360" w:lineRule="auto"/>
              <w:rPr>
                <w:sz w:val="24"/>
              </w:rPr>
            </w:pPr>
            <w:r>
              <w:rPr>
                <w:rFonts w:hint="eastAsia"/>
                <w:sz w:val="24"/>
                <w:lang w:val="en-US" w:eastAsia="zh-CN"/>
              </w:rPr>
              <w:t>5</w:t>
            </w:r>
            <w:r>
              <w:rPr>
                <w:rFonts w:hint="eastAsia"/>
                <w:sz w:val="24"/>
              </w:rPr>
              <w:t>. 语音提示功能：具备中文语音提示功能； </w:t>
            </w:r>
          </w:p>
          <w:p>
            <w:pPr>
              <w:spacing w:line="360" w:lineRule="auto"/>
              <w:rPr>
                <w:sz w:val="24"/>
              </w:rPr>
            </w:pPr>
            <w:r>
              <w:rPr>
                <w:rFonts w:hint="eastAsia"/>
                <w:sz w:val="24"/>
                <w:lang w:val="en-US" w:eastAsia="zh-CN"/>
              </w:rPr>
              <w:t>6</w:t>
            </w:r>
            <w:r>
              <w:rPr>
                <w:rFonts w:hint="eastAsia"/>
                <w:sz w:val="24"/>
              </w:rPr>
              <w:t>. 有提手，可方便携带</w:t>
            </w:r>
          </w:p>
          <w:p>
            <w:pPr>
              <w:spacing w:line="360" w:lineRule="auto"/>
              <w:rPr>
                <w:sz w:val="24"/>
              </w:rPr>
            </w:pPr>
            <w:r>
              <w:rPr>
                <w:rFonts w:hint="eastAsia"/>
                <w:sz w:val="24"/>
                <w:lang w:val="en-US" w:eastAsia="zh-CN"/>
              </w:rPr>
              <w:t>7</w:t>
            </w:r>
            <w:r>
              <w:rPr>
                <w:rFonts w:hint="eastAsia"/>
                <w:sz w:val="24"/>
              </w:rPr>
              <w:t>．除颤输出波形：双向截指数波形</w:t>
            </w:r>
          </w:p>
          <w:p>
            <w:pPr>
              <w:spacing w:line="360" w:lineRule="auto"/>
              <w:rPr>
                <w:sz w:val="24"/>
              </w:rPr>
            </w:pPr>
            <w:r>
              <w:rPr>
                <w:rFonts w:hint="eastAsia"/>
                <w:sz w:val="24"/>
              </w:rPr>
              <w:t>▲</w:t>
            </w:r>
            <w:r>
              <w:rPr>
                <w:rFonts w:hint="eastAsia"/>
                <w:sz w:val="24"/>
                <w:lang w:val="en-US" w:eastAsia="zh-CN"/>
              </w:rPr>
              <w:t>8</w:t>
            </w:r>
            <w:r>
              <w:rPr>
                <w:rFonts w:hint="eastAsia"/>
                <w:sz w:val="24"/>
              </w:rPr>
              <w:t>．输出能量：具有150,150,200J除颤能量</w:t>
            </w:r>
          </w:p>
          <w:p>
            <w:pPr>
              <w:spacing w:line="360" w:lineRule="auto"/>
              <w:rPr>
                <w:sz w:val="24"/>
              </w:rPr>
            </w:pPr>
            <w:r>
              <w:rPr>
                <w:rFonts w:hint="eastAsia"/>
                <w:sz w:val="24"/>
                <w:lang w:val="en-US" w:eastAsia="zh-CN"/>
              </w:rPr>
              <w:t>9</w:t>
            </w:r>
            <w:r>
              <w:rPr>
                <w:rFonts w:hint="eastAsia"/>
                <w:sz w:val="24"/>
              </w:rPr>
              <w:t>. 充电时间：在电池使用少于15次的状态下，达到最大充电能量≤9秒</w:t>
            </w:r>
          </w:p>
          <w:p>
            <w:pPr>
              <w:spacing w:line="360" w:lineRule="auto"/>
              <w:rPr>
                <w:rFonts w:hint="eastAsia"/>
                <w:sz w:val="24"/>
                <w:lang w:val="en-US" w:eastAsia="zh-CN"/>
              </w:rPr>
            </w:pPr>
            <w:r>
              <w:rPr>
                <w:rFonts w:hint="eastAsia"/>
                <w:sz w:val="24"/>
              </w:rPr>
              <w:t>▲</w:t>
            </w:r>
            <w:r>
              <w:rPr>
                <w:rFonts w:hint="eastAsia"/>
                <w:sz w:val="24"/>
                <w:lang w:val="en-US" w:eastAsia="zh-CN"/>
              </w:rPr>
              <w:t>10</w:t>
            </w:r>
            <w:r>
              <w:rPr>
                <w:rFonts w:hint="eastAsia"/>
                <w:sz w:val="24"/>
              </w:rPr>
              <w:t>．除颤脉冲最大电压≤1100</w:t>
            </w:r>
            <w:r>
              <w:rPr>
                <w:rFonts w:hint="eastAsia"/>
                <w:sz w:val="24"/>
                <w:lang w:val="en-US" w:eastAsia="zh-CN"/>
              </w:rPr>
              <w:t>V</w:t>
            </w:r>
          </w:p>
          <w:p>
            <w:pPr>
              <w:spacing w:line="360" w:lineRule="auto"/>
              <w:rPr>
                <w:sz w:val="24"/>
              </w:rPr>
            </w:pPr>
            <w:r>
              <w:rPr>
                <w:rFonts w:hint="eastAsia"/>
                <w:sz w:val="24"/>
                <w:lang w:val="en-US" w:eastAsia="zh-CN"/>
              </w:rPr>
              <w:t>11</w:t>
            </w:r>
            <w:r>
              <w:rPr>
                <w:rFonts w:hint="eastAsia"/>
                <w:sz w:val="24"/>
              </w:rPr>
              <w:t>．可除颤的阻抗范围：20Ω～200Ω</w:t>
            </w:r>
          </w:p>
          <w:p>
            <w:pPr>
              <w:spacing w:line="360" w:lineRule="auto"/>
              <w:rPr>
                <w:sz w:val="24"/>
              </w:rPr>
            </w:pPr>
            <w:r>
              <w:rPr>
                <w:rFonts w:hint="eastAsia"/>
                <w:sz w:val="24"/>
              </w:rPr>
              <w:t>▲</w:t>
            </w:r>
            <w:r>
              <w:rPr>
                <w:rFonts w:hint="eastAsia"/>
                <w:sz w:val="24"/>
                <w:lang w:val="en-US" w:eastAsia="zh-CN"/>
              </w:rPr>
              <w:t>12</w:t>
            </w:r>
            <w:r>
              <w:rPr>
                <w:rFonts w:hint="eastAsia"/>
                <w:sz w:val="24"/>
              </w:rPr>
              <w:t>. 电池待机存放时间：≥5年</w:t>
            </w:r>
          </w:p>
          <w:p>
            <w:pPr>
              <w:tabs>
                <w:tab w:val="left" w:pos="201"/>
              </w:tabs>
              <w:spacing w:line="360" w:lineRule="auto"/>
              <w:rPr>
                <w:sz w:val="24"/>
              </w:rPr>
            </w:pPr>
            <w:r>
              <w:rPr>
                <w:rFonts w:hint="eastAsia"/>
                <w:sz w:val="24"/>
                <w:lang w:val="en-US" w:eastAsia="zh-CN"/>
              </w:rPr>
              <w:t>13</w:t>
            </w:r>
            <w:r>
              <w:rPr>
                <w:rFonts w:hint="eastAsia"/>
                <w:sz w:val="24"/>
              </w:rPr>
              <w:t>. 实现LED可视性提示功能</w:t>
            </w:r>
          </w:p>
          <w:p>
            <w:pPr>
              <w:spacing w:line="360" w:lineRule="auto"/>
              <w:rPr>
                <w:sz w:val="24"/>
              </w:rPr>
            </w:pPr>
            <w:r>
              <w:rPr>
                <w:rFonts w:hint="eastAsia"/>
                <w:sz w:val="24"/>
                <w:lang w:val="en-US" w:eastAsia="zh-CN"/>
              </w:rPr>
              <w:t>14</w:t>
            </w:r>
            <w:r>
              <w:rPr>
                <w:rFonts w:hint="eastAsia"/>
                <w:sz w:val="24"/>
              </w:rPr>
              <w:t>. 具有两键控制功能</w:t>
            </w:r>
          </w:p>
          <w:p>
            <w:pPr>
              <w:spacing w:line="360" w:lineRule="auto"/>
              <w:rPr>
                <w:sz w:val="24"/>
              </w:rPr>
            </w:pPr>
            <w:r>
              <w:rPr>
                <w:rFonts w:hint="eastAsia"/>
                <w:sz w:val="24"/>
              </w:rPr>
              <w:t>1</w:t>
            </w:r>
            <w:r>
              <w:rPr>
                <w:rFonts w:hint="eastAsia"/>
                <w:sz w:val="24"/>
                <w:lang w:val="en-US" w:eastAsia="zh-CN"/>
              </w:rPr>
              <w:t>5</w:t>
            </w:r>
            <w:r>
              <w:rPr>
                <w:rFonts w:hint="eastAsia"/>
                <w:sz w:val="24"/>
              </w:rPr>
              <w:t>. 除颤电极片：有效期：≥2 年</w:t>
            </w:r>
          </w:p>
          <w:p>
            <w:pPr>
              <w:pStyle w:val="14"/>
              <w:numPr>
                <w:ilvl w:val="0"/>
                <w:numId w:val="0"/>
              </w:numPr>
              <w:spacing w:line="360" w:lineRule="auto"/>
              <w:rPr>
                <w:sz w:val="24"/>
              </w:rPr>
            </w:pPr>
            <w:r>
              <w:rPr>
                <w:rFonts w:hint="eastAsia"/>
                <w:sz w:val="24"/>
                <w:lang w:val="en-US" w:eastAsia="zh-CN"/>
              </w:rPr>
              <w:t>16.</w:t>
            </w:r>
            <w:r>
              <w:rPr>
                <w:rFonts w:hint="eastAsia"/>
                <w:sz w:val="24"/>
              </w:rPr>
              <w:t>数据传输：支持数据导出，便于管理; </w:t>
            </w:r>
          </w:p>
          <w:p>
            <w:pPr>
              <w:pStyle w:val="14"/>
              <w:spacing w:line="360" w:lineRule="auto"/>
              <w:ind w:left="0" w:leftChars="0" w:firstLine="0" w:firstLineChars="0"/>
              <w:rPr>
                <w:sz w:val="24"/>
              </w:rPr>
            </w:pPr>
            <w:r>
              <w:rPr>
                <w:rFonts w:hint="eastAsia"/>
                <w:sz w:val="24"/>
              </w:rPr>
              <w:t>1</w:t>
            </w:r>
            <w:r>
              <w:rPr>
                <w:rFonts w:hint="eastAsia"/>
                <w:sz w:val="24"/>
                <w:lang w:val="en-US" w:eastAsia="zh-CN"/>
              </w:rPr>
              <w:t>7.</w:t>
            </w:r>
            <w:r>
              <w:rPr>
                <w:rFonts w:hint="eastAsia"/>
                <w:sz w:val="24"/>
              </w:rPr>
              <w:t>产品具有CFDA医疗器械产品注册证</w:t>
            </w:r>
          </w:p>
          <w:p>
            <w:pPr>
              <w:spacing w:line="360" w:lineRule="auto"/>
              <w:rPr>
                <w:rFonts w:hint="eastAsia"/>
                <w:sz w:val="24"/>
                <w:lang w:val="en-US" w:eastAsia="zh-CN"/>
              </w:rPr>
            </w:pPr>
            <w:r>
              <w:rPr>
                <w:rFonts w:hint="eastAsia" w:ascii="宋体" w:hAnsi="宋体" w:eastAsia="宋体" w:cs="宋体"/>
                <w:b/>
                <w:sz w:val="28"/>
                <w:szCs w:val="28"/>
                <w:lang w:val="en-US" w:eastAsia="zh-CN"/>
              </w:rPr>
              <w:t>二、商务参数</w:t>
            </w:r>
            <w:r>
              <w:rPr>
                <w:rStyle w:val="15"/>
                <w:rFonts w:hint="eastAsia" w:ascii="宋体" w:hAnsi="宋体"/>
                <w:b/>
                <w:color w:val="auto"/>
                <w:sz w:val="36"/>
                <w:lang w:val="en-US" w:eastAsia="zh-CN"/>
              </w:rPr>
              <w:cr/>
            </w:r>
            <w:r>
              <w:rPr>
                <w:rFonts w:hint="eastAsia"/>
                <w:sz w:val="24"/>
                <w:lang w:val="en-US" w:eastAsia="zh-CN"/>
              </w:rPr>
              <w:t>*1、运输、装卸、培训、安装调试：由中标人负责承担，最终通过使用科室、设备科及相关部门确认验收交付使用。</w:t>
            </w:r>
            <w:r>
              <w:rPr>
                <w:rFonts w:hint="eastAsia"/>
                <w:sz w:val="24"/>
                <w:lang w:val="en-US" w:eastAsia="zh-CN"/>
              </w:rPr>
              <w:cr/>
            </w:r>
            <w:r>
              <w:rPr>
                <w:rFonts w:hint="eastAsia"/>
                <w:sz w:val="24"/>
                <w:lang w:val="en-US" w:eastAsia="zh-CN"/>
              </w:rPr>
              <w:t>*2、交货时间：按中标公示无异议后30天内送货上门，逾期按合同赔付。</w:t>
            </w:r>
          </w:p>
          <w:p>
            <w:pPr>
              <w:spacing w:line="360" w:lineRule="auto"/>
              <w:rPr>
                <w:rFonts w:hint="default"/>
                <w:sz w:val="24"/>
                <w:lang w:val="en-US" w:eastAsia="zh-CN"/>
              </w:rPr>
            </w:pPr>
            <w:r>
              <w:rPr>
                <w:rFonts w:hint="eastAsia"/>
                <w:sz w:val="24"/>
                <w:lang w:val="en-US" w:eastAsia="zh-CN"/>
              </w:rPr>
              <w:t>*3、付款方式：设备验收合格后，供应商将发票交到娄底市中心医院后按程序支付货款90%（按医院财务制度一般情况下4个月内支付、特殊情况下最多不超过6个月），甲方在设备验收合格满3年后支付10%余款给乙方。</w:t>
            </w:r>
            <w:r>
              <w:rPr>
                <w:rFonts w:hint="eastAsia"/>
                <w:sz w:val="24"/>
                <w:lang w:val="en-US" w:eastAsia="zh-CN"/>
              </w:rPr>
              <w:cr/>
            </w:r>
            <w:r>
              <w:rPr>
                <w:rFonts w:hint="eastAsia"/>
                <w:sz w:val="24"/>
                <w:lang w:val="en-US" w:eastAsia="zh-CN"/>
              </w:rPr>
              <w:t>*4、交货地点：娄底市中心医院。</w:t>
            </w:r>
            <w:r>
              <w:rPr>
                <w:rFonts w:hint="eastAsia"/>
                <w:sz w:val="24"/>
                <w:lang w:val="en-US" w:eastAsia="zh-CN"/>
              </w:rPr>
              <w:cr/>
            </w:r>
            <w:r>
              <w:rPr>
                <w:rFonts w:hint="eastAsia"/>
                <w:sz w:val="24"/>
                <w:lang w:val="en-US" w:eastAsia="zh-CN"/>
              </w:rPr>
              <w:t>*5、质保与售后：整机保修3年，终身维修。出具原厂售后质保承诺书，质保期内每年巡检两次。</w:t>
            </w:r>
            <w:r>
              <w:rPr>
                <w:rFonts w:hint="eastAsia"/>
                <w:sz w:val="24"/>
                <w:lang w:val="zh-CN" w:eastAsia="zh-CN"/>
              </w:rPr>
              <w:t>质保期内</w:t>
            </w:r>
            <w:r>
              <w:rPr>
                <w:rFonts w:hint="eastAsia"/>
                <w:sz w:val="24"/>
                <w:lang w:val="en-US" w:eastAsia="zh-CN"/>
              </w:rPr>
              <w:t>出现故障，24小时响应，响应后4小时上门服务。经销商三年内免费提供20套电极片。</w:t>
            </w:r>
          </w:p>
          <w:p>
            <w:pPr>
              <w:spacing w:line="360" w:lineRule="auto"/>
              <w:rPr>
                <w:rFonts w:hint="eastAsia"/>
                <w:sz w:val="24"/>
                <w:lang w:val="en-US" w:eastAsia="zh-CN"/>
              </w:rPr>
            </w:pPr>
            <w:r>
              <w:rPr>
                <w:rFonts w:hint="eastAsia"/>
                <w:sz w:val="24"/>
                <w:lang w:val="en-US" w:eastAsia="zh-CN"/>
              </w:rPr>
              <w:t>*6、在投标文件中必须提供相关佐证资料（加盖原厂公章的技术参数、技术白皮书、说明书、彩页），并在响应表中备注该条参数响应或正偏离的佐证资料所在页码。</w:t>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sz w:val="24"/>
                <w:lang w:val="en-US" w:eastAsia="zh-CN"/>
              </w:rPr>
              <w:t>*7、验收期间，采购人发现投标人投标文件的响应及正偏离参数实际为负偏离的，采购人有权终止合同，同时，中标人赔偿采购人合同总价的30%。如果采购人的损失大于该赔偿金，采购人保留继续要求中标人赔偿的权利。</w:t>
            </w:r>
          </w:p>
        </w:tc>
      </w:tr>
    </w:tbl>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11"/>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2"/>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3"/>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3"/>
        <w:rPr>
          <w:color w:val="auto"/>
        </w:rPr>
      </w:pPr>
    </w:p>
    <w:p>
      <w:pPr>
        <w:rPr>
          <w:color w:val="auto"/>
        </w:rPr>
      </w:pPr>
      <w:r>
        <w:rPr>
          <w:color w:val="auto"/>
        </w:rPr>
        <w:br w:type="page"/>
      </w:r>
    </w:p>
    <w:p>
      <w:pPr>
        <w:pStyle w:val="13"/>
        <w:rPr>
          <w:color w:val="auto"/>
        </w:rPr>
      </w:pPr>
    </w:p>
    <w:p>
      <w:pPr>
        <w:pStyle w:val="13"/>
        <w:widowControl w:val="0"/>
        <w:numPr>
          <w:ilvl w:val="0"/>
          <w:numId w:val="0"/>
        </w:numPr>
        <w:jc w:val="both"/>
        <w:rPr>
          <w:color w:val="auto"/>
          <w:sz w:val="28"/>
          <w:szCs w:val="28"/>
        </w:rPr>
      </w:pPr>
    </w:p>
    <w:p>
      <w:pPr>
        <w:pStyle w:val="13"/>
        <w:widowControl w:val="0"/>
        <w:numPr>
          <w:ilvl w:val="0"/>
          <w:numId w:val="0"/>
        </w:numPr>
        <w:jc w:val="both"/>
        <w:rPr>
          <w:color w:val="auto"/>
          <w:sz w:val="28"/>
          <w:szCs w:val="28"/>
        </w:rPr>
      </w:pPr>
    </w:p>
    <w:p>
      <w:pPr>
        <w:pStyle w:val="6"/>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6"/>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6"/>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3"/>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7"/>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3"/>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1"/>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2"/>
      </w:pPr>
    </w:p>
    <w:p>
      <w:pPr>
        <w:spacing w:before="120" w:beforeLines="50" w:after="120" w:afterLines="50" w:line="276" w:lineRule="auto"/>
        <w:rPr>
          <w:rFonts w:hint="eastAsia" w:eastAsia="宋体"/>
          <w:b/>
          <w:bCs/>
          <w:color w:val="auto"/>
          <w:sz w:val="28"/>
          <w:szCs w:val="28"/>
          <w:lang w:eastAsia="zh-CN"/>
        </w:rPr>
      </w:pPr>
    </w:p>
    <w:p>
      <w:pPr>
        <w:pStyle w:val="13"/>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6"/>
        <w:rPr>
          <w:color w:val="auto"/>
        </w:rPr>
      </w:pPr>
    </w:p>
    <w:p>
      <w:pPr>
        <w:pStyle w:val="16"/>
        <w:rPr>
          <w:color w:val="auto"/>
        </w:rPr>
      </w:pPr>
    </w:p>
    <w:p>
      <w:pPr>
        <w:pStyle w:val="16"/>
        <w:rPr>
          <w:color w:val="auto"/>
        </w:rPr>
      </w:pPr>
    </w:p>
    <w:p>
      <w:pPr>
        <w:pStyle w:val="16"/>
        <w:rPr>
          <w:color w:val="auto"/>
        </w:rPr>
      </w:pPr>
    </w:p>
    <w:p>
      <w:pPr>
        <w:pStyle w:val="14"/>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6"/>
        <w:rPr>
          <w:color w:val="auto"/>
        </w:rPr>
      </w:pPr>
    </w:p>
    <w:p>
      <w:pPr>
        <w:pStyle w:val="16"/>
        <w:rPr>
          <w:rFonts w:hint="eastAsia"/>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color w:val="auto"/>
        </w:rPr>
      </w:pPr>
    </w:p>
    <w:p>
      <w:pPr>
        <w:pStyle w:val="16"/>
        <w:rPr>
          <w:rFonts w:hint="eastAsia"/>
          <w:color w:val="auto"/>
        </w:rPr>
      </w:pPr>
    </w:p>
    <w:p>
      <w:pPr>
        <w:pStyle w:val="14"/>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4"/>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4"/>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3"/>
        <w:rPr>
          <w:rFonts w:hint="eastAsia"/>
          <w:lang w:eastAsia="zh-CN"/>
        </w:rPr>
      </w:pPr>
    </w:p>
    <w:p>
      <w:pPr>
        <w:pStyle w:val="14"/>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4"/>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4"/>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4"/>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半自动体外除颤仪</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 半自动体外除颤仪 </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11"/>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auto"/>
                <w:kern w:val="0"/>
                <w:sz w:val="24"/>
                <w:szCs w:val="24"/>
                <w:lang w:val="en-US" w:eastAsia="zh-CN"/>
              </w:rPr>
              <w:t>半自动体外除颤仪</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4</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p>
    <w:p>
      <w:pPr>
        <w:keepNext w:val="0"/>
        <w:keepLines w:val="0"/>
        <w:pageBreakBefore w:val="0"/>
        <w:kinsoku/>
        <w:wordWrap/>
        <w:overflowPunct/>
        <w:topLinePunct w:val="0"/>
        <w:autoSpaceDE/>
        <w:autoSpaceDN/>
        <w:bidi w:val="0"/>
        <w:adjustRightInd/>
        <w:snapToGrid/>
        <w:spacing w:line="480" w:lineRule="exact"/>
        <w:textAlignment w:val="auto"/>
      </w:pPr>
    </w:p>
    <w:p/>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00000002"/>
    <w:multiLevelType w:val="multilevel"/>
    <w:tmpl w:val="00000002"/>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E6DDE31"/>
    <w:multiLevelType w:val="singleLevel"/>
    <w:tmpl w:val="1E6DDE31"/>
    <w:lvl w:ilvl="0" w:tentative="0">
      <w:start w:val="1"/>
      <w:numFmt w:val="chineseCounting"/>
      <w:suff w:val="space"/>
      <w:lvlText w:val="第%1条"/>
      <w:lvlJc w:val="left"/>
      <w:rPr>
        <w:rFonts w:hint="eastAsia"/>
      </w:rPr>
    </w:lvl>
  </w:abstractNum>
  <w:num w:numId="1">
    <w:abstractNumId w:val="1"/>
  </w:num>
  <w:num w:numId="2">
    <w:abstractNumId w:val="4"/>
  </w:num>
  <w:num w:numId="3">
    <w:abstractNumId w:val="2"/>
  </w:num>
  <w:num w:numId="4">
    <w:abstractNumId w:val="0"/>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7E004762"/>
    <w:rsid w:val="7E0047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7">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2">
    <w:name w:val="Default Paragraph Font"/>
    <w:semiHidden/>
    <w:uiPriority w:val="0"/>
  </w:style>
  <w:style w:type="table" w:default="1" w:styleId="11">
    <w:name w:val="Normal Table"/>
    <w:semiHidden/>
    <w:uiPriority w:val="0"/>
    <w:tblPr>
      <w:tblCellMar>
        <w:top w:w="0" w:type="dxa"/>
        <w:left w:w="108" w:type="dxa"/>
        <w:bottom w:w="0" w:type="dxa"/>
        <w:right w:w="108" w:type="dxa"/>
      </w:tblCellMar>
    </w:tblPr>
  </w:style>
  <w:style w:type="paragraph" w:customStyle="1" w:styleId="2">
    <w:name w:val="Default"/>
    <w:next w:val="3"/>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3">
    <w:name w:val="大标题"/>
    <w:basedOn w:val="1"/>
    <w:next w:val="4"/>
    <w:qFormat/>
    <w:uiPriority w:val="0"/>
    <w:pPr>
      <w:jc w:val="center"/>
    </w:pPr>
    <w:rPr>
      <w:rFonts w:ascii="Arial" w:hAnsi="Arial" w:eastAsia="宋体"/>
      <w:b/>
      <w:sz w:val="28"/>
      <w:szCs w:val="24"/>
    </w:rPr>
  </w:style>
  <w:style w:type="paragraph" w:styleId="4">
    <w:name w:val="Body Text First Indent 2"/>
    <w:basedOn w:val="5"/>
    <w:next w:val="1"/>
    <w:qFormat/>
    <w:uiPriority w:val="0"/>
    <w:pPr>
      <w:overflowPunct w:val="0"/>
      <w:adjustRightInd w:val="0"/>
      <w:spacing w:line="500" w:lineRule="exact"/>
      <w:ind w:firstLine="420" w:firstLineChars="200"/>
      <w:textAlignment w:val="baseline"/>
    </w:pPr>
    <w:rPr>
      <w:rFonts w:eastAsia="仿宋_GB2312"/>
      <w:kern w:val="28"/>
      <w:sz w:val="28"/>
    </w:rPr>
  </w:style>
  <w:style w:type="paragraph" w:styleId="5">
    <w:name w:val="Body Text Indent"/>
    <w:basedOn w:val="1"/>
    <w:next w:val="4"/>
    <w:qFormat/>
    <w:uiPriority w:val="99"/>
    <w:pPr>
      <w:spacing w:line="400" w:lineRule="exact"/>
      <w:ind w:left="630"/>
    </w:pPr>
    <w:rPr>
      <w:rFonts w:ascii="楷体_GB2312"/>
      <w:sz w:val="30"/>
      <w:szCs w:val="30"/>
    </w:rPr>
  </w:style>
  <w:style w:type="paragraph" w:styleId="8">
    <w:name w:val="footer"/>
    <w:basedOn w:val="1"/>
    <w:qFormat/>
    <w:uiPriority w:val="0"/>
    <w:pPr>
      <w:tabs>
        <w:tab w:val="center" w:pos="4153"/>
        <w:tab w:val="right" w:pos="8306"/>
      </w:tabs>
      <w:snapToGrid w:val="0"/>
      <w:jc w:val="left"/>
    </w:pPr>
    <w:rPr>
      <w:kern w:val="0"/>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paragraph" w:customStyle="1" w:styleId="13">
    <w:name w:val="列出段落1"/>
    <w:basedOn w:val="1"/>
    <w:qFormat/>
    <w:uiPriority w:val="99"/>
    <w:pPr>
      <w:ind w:firstLine="420" w:firstLineChars="200"/>
    </w:pPr>
  </w:style>
  <w:style w:type="paragraph" w:styleId="14">
    <w:name w:val="List Paragraph"/>
    <w:basedOn w:val="1"/>
    <w:qFormat/>
    <w:uiPriority w:val="34"/>
    <w:pPr>
      <w:ind w:firstLine="420" w:firstLineChars="200"/>
    </w:pPr>
    <w:rPr>
      <w:rFonts w:ascii="Calibri" w:hAnsi="Calibri"/>
      <w:szCs w:val="22"/>
    </w:rPr>
  </w:style>
  <w:style w:type="character" w:customStyle="1" w:styleId="15">
    <w:name w:val="NormalCharacter"/>
    <w:semiHidden/>
    <w:qFormat/>
    <w:uiPriority w:val="0"/>
  </w:style>
  <w:style w:type="paragraph" w:customStyle="1" w:styleId="16">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2023-06-26T04:01:00Z</dcterms:created>
  <dc:creator>是小豹子</dc:creator>
  <cp:lastModifiedBy>是小豹子</cp:lastModifiedBy>
  <dcterms:modified xsi:type="dcterms:W3CDTF">2023-06-26T04:01:46Z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2A7522A7F64547F0933F966C7453D9B5_11</vt:lpwstr>
  </property>
</Properties>
</file>