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（牙科综合治疗台种植</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议价</w:t>
      </w:r>
      <w:bookmarkStart w:id="5" w:name="_GoBack"/>
      <w:bookmarkEnd w:id="5"/>
      <w:r>
        <w:rPr>
          <w:rFonts w:hint="eastAsia" w:ascii="Times New Roman" w:hAnsi="Times New Roman" w:eastAsia="宋体" w:cs="Times New Roman"/>
          <w:b/>
          <w:bCs/>
          <w:kern w:val="44"/>
          <w:sz w:val="32"/>
          <w:szCs w:val="32"/>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八</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sectPr>
          <w:headerReference r:id="rId3" w:type="default"/>
          <w:footerReference r:id="rId4" w:type="default"/>
          <w:pgSz w:w="11906" w:h="16838"/>
          <w:pgMar w:top="1440" w:right="1080" w:bottom="1440" w:left="1080" w:header="567" w:footer="283" w:gutter="0"/>
          <w:cols w:space="720" w:num="1"/>
          <w:docGrid w:linePitch="312" w:charSpace="0"/>
        </w:sectPr>
      </w:pPr>
    </w:p>
    <w:p>
      <w:pPr>
        <w:rPr>
          <w:rFonts w:hint="eastAsia"/>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牙科综合治疗台（种植）</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牙科综合治疗台（种植）</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院内议价，按招标文件评分规则进行评审，以评审结果排序，综合评分得分相同的，按投标报价由低到高顺序排列，得分且投标报价相同的，按技术指标优劣顺序排列。</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6、投标人具备湖南省政府采购电子卖场资格，中标人在议价公示后三个工作日内需配合医院完成湖南省政府采购电子卖场直购程序。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1、投标截止时间、开标时间：具体时间电话通知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6"/>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2"/>
        <w:rPr>
          <w:rFonts w:hint="eastAsia"/>
          <w:lang w:val="en-US" w:eastAsia="zh-CN"/>
        </w:rPr>
      </w:pPr>
    </w:p>
    <w:p>
      <w:pPr>
        <w:pStyle w:val="3"/>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10"/>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预算价格（万元）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牙科综合治疗台（种植）</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6.9</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22" w:firstLineChars="200"/>
        <w:rPr>
          <w:rFonts w:hint="eastAsia"/>
          <w:b/>
          <w:bCs/>
          <w:lang w:val="en-US" w:eastAsia="zh-CN"/>
        </w:rPr>
      </w:pPr>
      <w:r>
        <w:rPr>
          <w:rFonts w:hint="eastAsia"/>
          <w:b/>
          <w:bCs/>
          <w:lang w:val="en-US" w:eastAsia="zh-CN"/>
        </w:rPr>
        <w:t>技术参数：</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 xml:space="preserve">1、同品牌高速手机1支。进口钢球轴承,端面四孔喷雾,转速≥310000转/分钟，可进行≥132℃高温和真空灭菌消毒。 </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w:t>
      </w:r>
      <w:r>
        <w:rPr>
          <w:rFonts w:hint="default" w:asciiTheme="minorEastAsia" w:hAnsiTheme="minorEastAsia" w:eastAsiaTheme="minorEastAsia" w:cstheme="minorEastAsia"/>
          <w:bCs/>
          <w:color w:val="auto"/>
          <w:kern w:val="0"/>
          <w:sz w:val="24"/>
          <w:szCs w:val="24"/>
          <w:lang w:val="en-US" w:eastAsia="zh-CN" w:bidi="ar-SA"/>
        </w:rPr>
        <w:t>同品牌气动低速手机1套：含直机、弯机、马达。</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2.1直机：冷却形式为外部雾化冷却，可拆卸式喷雾座；</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2.2弯机：冷却形式为部雾化冷却,可拆卸喷水卡；</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2.3马达：冷却形式部雾化冷却；具有正反转功能；转速≥20000转/分钟，可进行≥132℃高温和真空灭菌消毒。</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3、三用枪1支。可喷水、气、雾，枪头可进行≥132℃高温和真空灭菌消毒。</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4、医生用移动式工作台：</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4.1、医生用移动工作台台面设有电源开关、台面升、台面降按钮，器械盘可在730mm—850mm范围内升降自如，轻松调节高度。</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4.2、移动式工作台及治疗托盘台面均采用全不锈钢结构，表面可以进行消毒，满足种植手术需求。</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4.3、移动式工作台具有不锈钢治疗托盘台面，台面尺寸：≥700mm(长） X 370mm（宽），台面可再拉伸≥200mm长，有效扩大台面尺寸，方便搁置种植机、各类手术器械等，满足种植手术的需求。</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4.4、配有三联枪架，设置有高速手机、低速手机、三用枪，枪架可自由旋转。同时预留有种植机、洁牙机枪架位2个，方便医生使用。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4.5、设有总气开关，可轻松控制治疗机水、气、电。</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4.6、设有外置式纯净水瓶1个，采用手动泻压与增加，方便查看和加水。</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5、助手工作台：</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5.1、二关节旋转式助手架，方便四手操作，扩大助手诊疗范围。</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5.2、助手位设有薄膜按键：具有设置键以及牙科椅升、降、俯、仰键，定位准确，功能丰富，有效提升助手工作效率。</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5.3、助手单元有2个器械挂架：金属制手持痰盂1个，吸唾器1个，满足助手配合治疗的操作需求。</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6、器械臂及不锈钢器械盘：手动锁紧器械臂，可升降和移动，推拉自如，可以保证台面在任意工作位置锁定。配有不锈钢器械盘，衬有钢化玻璃，可消毒。</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7、感应式LED无影手术灯：</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7.1、感应及手动双重控制口腔灯开启与关闭。</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7.2、由≥18孔LED光源构成。</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7.3、口腔灯数字显示色温和照度，可准确获得最佳照明效果，照度和色温均可调节，方便使用。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7.4、口腔灯可三轴旋转，方便拉伸、锁定。</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8、痰盂：金属制手持式痰盂，易清洁消毒，方便患者漱口吐痰使用。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9、移动式负压抽吸系统：</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9.1、采用全塑面板设计。</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9.2、设有截流回流装置，减少油雾污染。</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9.3、可方便移动。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9.4、极限负压值：≥0.09MPa(680mmHg)。</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9.5、负压调节范围:0.02～0.09MPa(150～680mmHg)。</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 xml:space="preserve">9.6、抽气速率：≥32L/min。 </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9.7、噪声：≤60dB(A)。</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9.8、贮液瓶：≥2500ml×2个。</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10、牙科（患者）椅：</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10.1、采用直流电机驱动。低噪音，动力稳定，运行平稳。</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10.2、靠背背板为铸铝材质，整体注塑框架工艺制成，靠背背板与牙椅框架整体连接，结实可靠，连接稳固，运行更安全。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10.3、靠背采用挂钩形式连接，座垫采用搭扣形式连接，免用工具就可方便更换与维修。</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10.4、患者椅具有带记忆电机，记忆永存，断电不丢失。</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10.5、牙椅座椅和靠背联动设计，避免患者背部牵拉及搓背感，靠背运动1°—70°，有效提升患者舒适感。</w:t>
      </w:r>
    </w:p>
    <w:p>
      <w:pPr>
        <w:spacing w:line="360" w:lineRule="auto"/>
        <w:ind w:firstLine="480" w:firstLineChars="200"/>
        <w:rPr>
          <w:rFonts w:hint="default" w:asciiTheme="minorEastAsia" w:hAnsiTheme="minorEastAsia" w:eastAsiaTheme="minorEastAsia" w:cstheme="minorEastAsia"/>
          <w:bCs/>
          <w:color w:val="FF0000"/>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10.6、牙椅运行平稳，启停柔和。牙椅具有抬腿补偿结构，</w:t>
      </w:r>
      <w:r>
        <w:rPr>
          <w:rFonts w:hint="default" w:asciiTheme="minorEastAsia" w:hAnsiTheme="minorEastAsia" w:eastAsiaTheme="minorEastAsia" w:cstheme="minorEastAsia"/>
          <w:bCs/>
          <w:color w:val="FF0000"/>
          <w:kern w:val="0"/>
          <w:sz w:val="24"/>
          <w:szCs w:val="24"/>
          <w:lang w:val="en-US" w:eastAsia="zh-CN" w:bidi="ar-SA"/>
        </w:rPr>
        <w:t>最低椅位：410mm，最高椅位：750mm，方便患者上下牙椅。</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10.7、多关节折叠式头枕，可多角度调整并固定头枕，且可拉伸和锁定，伸缩范围≥150mm，满足成人和老人、儿童、残障人士使用。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10.8、牙科椅承载能力≥150Kg，满足各类患者治疗使用。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10.9、双扶手设计，外扶手可向下翻转，方便患者治疗和上下牙科椅使用。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10.10、</w:t>
      </w:r>
      <w:r>
        <w:rPr>
          <w:rFonts w:hint="default" w:asciiTheme="minorEastAsia" w:hAnsiTheme="minorEastAsia" w:eastAsiaTheme="minorEastAsia" w:cstheme="minorEastAsia"/>
          <w:bCs/>
          <w:color w:val="FF0000"/>
          <w:kern w:val="0"/>
          <w:sz w:val="24"/>
          <w:szCs w:val="24"/>
          <w:lang w:val="en-US" w:eastAsia="zh-CN" w:bidi="ar-SA"/>
        </w:rPr>
        <w:t>牙科椅可向外水平旋转</w:t>
      </w:r>
      <w:r>
        <w:rPr>
          <w:rFonts w:hint="eastAsia" w:asciiTheme="minorEastAsia" w:hAnsiTheme="minorEastAsia" w:eastAsiaTheme="minorEastAsia" w:cstheme="minorEastAsia"/>
          <w:bCs/>
          <w:color w:val="FF0000"/>
          <w:kern w:val="0"/>
          <w:sz w:val="24"/>
          <w:szCs w:val="24"/>
          <w:lang w:val="en-US" w:eastAsia="zh-CN" w:bidi="ar-SA"/>
        </w:rPr>
        <w:t>大于等于</w:t>
      </w:r>
      <w:r>
        <w:rPr>
          <w:rFonts w:hint="default" w:asciiTheme="minorEastAsia" w:hAnsiTheme="minorEastAsia" w:eastAsiaTheme="minorEastAsia" w:cstheme="minorEastAsia"/>
          <w:bCs/>
          <w:color w:val="FF0000"/>
          <w:kern w:val="0"/>
          <w:sz w:val="24"/>
          <w:szCs w:val="24"/>
          <w:lang w:val="en-US" w:eastAsia="zh-CN" w:bidi="ar-SA"/>
        </w:rPr>
        <w:t>30°，</w:t>
      </w:r>
      <w:r>
        <w:rPr>
          <w:rFonts w:hint="default" w:asciiTheme="minorEastAsia" w:hAnsiTheme="minorEastAsia" w:eastAsiaTheme="minorEastAsia" w:cstheme="minorEastAsia"/>
          <w:bCs/>
          <w:color w:val="auto"/>
          <w:kern w:val="0"/>
          <w:sz w:val="24"/>
          <w:szCs w:val="24"/>
          <w:lang w:val="en-US" w:eastAsia="zh-CN" w:bidi="ar-SA"/>
        </w:rPr>
        <w:t>方便患者上下牙科椅使用。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10.11、牙椅底板罩壳后方设有可控制牙椅升、降、俯、仰运动的球状开关。</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11、脚开关：</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11.1、可控制患者椅位运动；可控制高速手机、低速手机、洁牙机等动态器械。</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11.2、可控制高速手机单喷气/无水操作。</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11.3、可控制高速手机吹屑气操作。</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11.4、可控制手术灯开启及关闭。</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12、全面安全保障控制：</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12.1、牙椅具有安全保护功能，牙椅在下降的动作过程中遇障碍座椅会停止运动，并小幅上升，具有防挤脚功能。</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12.2、牙椅具有即停功能：无论牙椅进行任何运动，只要按上主控面板上任意一个椅位键，牙椅运动停止，有效避免意外发生。</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12.3、当手机工作时，牙科椅被自动锁定，有效避免误操作带来的安全隐患。</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12.4、设置负载短路及过载保护，保证了设备电气的使用安全。</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13、医生座椅、护士座椅各一套。</w:t>
      </w:r>
    </w:p>
    <w:p>
      <w:pPr>
        <w:pStyle w:val="2"/>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*配置清单：</w:t>
      </w:r>
    </w:p>
    <w:tbl>
      <w:tblPr>
        <w:tblStyle w:val="10"/>
        <w:tblW w:w="6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2687"/>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tcPr>
          <w:p>
            <w:pPr>
              <w:spacing w:line="440" w:lineRule="exact"/>
              <w:jc w:val="center"/>
              <w:rPr>
                <w:rFonts w:hint="eastAsia"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序号</w:t>
            </w:r>
          </w:p>
        </w:tc>
        <w:tc>
          <w:tcPr>
            <w:tcW w:w="2687" w:type="dxa"/>
          </w:tcPr>
          <w:p>
            <w:pPr>
              <w:spacing w:line="440" w:lineRule="exact"/>
              <w:jc w:val="center"/>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名称</w:t>
            </w:r>
          </w:p>
        </w:tc>
        <w:tc>
          <w:tcPr>
            <w:tcW w:w="1747" w:type="dxa"/>
          </w:tcPr>
          <w:p>
            <w:pPr>
              <w:spacing w:line="440" w:lineRule="exact"/>
              <w:jc w:val="center"/>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1</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高速手机 4孔</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000000"/>
                <w:kern w:val="0"/>
                <w:sz w:val="24"/>
                <w:szCs w:val="24"/>
                <w:u w:val="none"/>
                <w:lang w:val="en-US" w:eastAsia="zh-CN" w:bidi="ar"/>
              </w:rPr>
            </w:pPr>
            <w:r>
              <w:rPr>
                <w:rFonts w:hint="eastAsia"/>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2</w:t>
            </w:r>
          </w:p>
        </w:tc>
        <w:tc>
          <w:tcPr>
            <w:tcW w:w="2687" w:type="dxa"/>
            <w:vAlign w:val="center"/>
          </w:tcPr>
          <w:p>
            <w:pPr>
              <w:keepNext w:val="0"/>
              <w:keepLines w:val="0"/>
              <w:widowControl/>
              <w:suppressLineNumbers w:val="0"/>
              <w:ind w:firstLine="210" w:firstLineChars="100"/>
              <w:jc w:val="center"/>
              <w:textAlignment w:val="center"/>
              <w:rPr>
                <w:rFonts w:hint="default" w:ascii="华文仿宋" w:hAnsi="华文仿宋" w:eastAsia="华文仿宋" w:cs="华文仿宋"/>
                <w:b w:val="0"/>
                <w:bCs w:val="0"/>
                <w:sz w:val="24"/>
                <w:szCs w:val="24"/>
                <w:lang w:val="en-US" w:eastAsia="zh-CN"/>
              </w:rPr>
            </w:pPr>
            <w:r>
              <w:rPr>
                <w:rFonts w:hint="eastAsia"/>
              </w:rPr>
              <w:t xml:space="preserve">低速手机 4孔 </w:t>
            </w:r>
            <w:r>
              <w:rPr>
                <w:rFonts w:hint="eastAsia"/>
                <w:lang w:eastAsia="zh-CN"/>
              </w:rPr>
              <w:t>（</w:t>
            </w:r>
            <w:r>
              <w:rPr>
                <w:rFonts w:hint="eastAsia"/>
                <w:lang w:val="en-US" w:eastAsia="zh-CN"/>
              </w:rPr>
              <w:t>直机、弯机、马达</w:t>
            </w:r>
            <w:r>
              <w:rPr>
                <w:rFonts w:hint="eastAsia"/>
                <w:lang w:eastAsia="zh-CN"/>
              </w:rPr>
              <w:t>）</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i w:val="0"/>
                <w:color w:val="000000"/>
                <w:kern w:val="0"/>
                <w:sz w:val="24"/>
                <w:szCs w:val="24"/>
                <w:u w:val="none"/>
                <w:lang w:val="en-US" w:eastAsia="zh-CN" w:bidi="ar"/>
              </w:rPr>
            </w:pPr>
            <w:r>
              <w:rPr>
                <w:rFonts w:hint="eastAsi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center"/>
          </w:tcPr>
          <w:p>
            <w:pPr>
              <w:keepNext w:val="0"/>
              <w:keepLines w:val="0"/>
              <w:widowControl/>
              <w:suppressLineNumbers w:val="0"/>
              <w:jc w:val="center"/>
              <w:textAlignment w:val="center"/>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3</w:t>
            </w:r>
          </w:p>
        </w:tc>
        <w:tc>
          <w:tcPr>
            <w:tcW w:w="2687" w:type="dxa"/>
            <w:vAlign w:val="center"/>
          </w:tcPr>
          <w:p>
            <w:pPr>
              <w:keepNext w:val="0"/>
              <w:keepLines w:val="0"/>
              <w:widowControl/>
              <w:suppressLineNumbers w:val="0"/>
              <w:ind w:firstLine="210" w:firstLineChars="100"/>
              <w:jc w:val="center"/>
              <w:textAlignment w:val="center"/>
              <w:rPr>
                <w:rFonts w:hint="default" w:ascii="华文仿宋" w:hAnsi="华文仿宋" w:eastAsia="华文仿宋" w:cs="华文仿宋"/>
                <w:b w:val="0"/>
                <w:bCs w:val="0"/>
                <w:sz w:val="24"/>
                <w:szCs w:val="24"/>
                <w:lang w:val="en-US" w:eastAsia="zh-CN"/>
              </w:rPr>
            </w:pPr>
            <w:r>
              <w:rPr>
                <w:rFonts w:hint="eastAsia"/>
              </w:rPr>
              <w:t>三用枪</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4</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医生用工作台</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5</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抽吸机</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6</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无影手术灯</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7</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治疗机</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8</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牙科椅</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9</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rPr>
              <w:t>医生座椅</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10</w:t>
            </w:r>
          </w:p>
        </w:tc>
        <w:tc>
          <w:tcPr>
            <w:tcW w:w="2687" w:type="dxa"/>
            <w:vAlign w:val="center"/>
          </w:tcPr>
          <w:p>
            <w:pPr>
              <w:keepNext w:val="0"/>
              <w:keepLines w:val="0"/>
              <w:widowControl/>
              <w:suppressLineNumbers w:val="0"/>
              <w:ind w:firstLine="210" w:firstLineChars="100"/>
              <w:jc w:val="center"/>
              <w:textAlignment w:val="center"/>
              <w:rPr>
                <w:rFonts w:hint="eastAsia" w:ascii="华文仿宋" w:hAnsi="华文仿宋" w:eastAsia="华文仿宋" w:cs="华文仿宋"/>
                <w:b w:val="0"/>
                <w:bCs w:val="0"/>
                <w:sz w:val="24"/>
                <w:szCs w:val="24"/>
                <w:lang w:val="en-US" w:eastAsia="zh-CN"/>
              </w:rPr>
            </w:pPr>
            <w:r>
              <w:rPr>
                <w:rFonts w:hint="eastAsia"/>
                <w:lang w:val="en-US" w:eastAsia="zh-CN"/>
              </w:rPr>
              <w:t>护士座椅</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11</w:t>
            </w:r>
          </w:p>
        </w:tc>
        <w:tc>
          <w:tcPr>
            <w:tcW w:w="2687" w:type="dxa"/>
            <w:vAlign w:val="center"/>
          </w:tcPr>
          <w:p>
            <w:pPr>
              <w:keepNext w:val="0"/>
              <w:keepLines w:val="0"/>
              <w:widowControl/>
              <w:suppressLineNumbers w:val="0"/>
              <w:ind w:firstLine="210" w:firstLineChars="100"/>
              <w:jc w:val="center"/>
              <w:textAlignment w:val="center"/>
              <w:rPr>
                <w:rFonts w:hint="default"/>
                <w:lang w:val="en-US" w:eastAsia="zh-CN"/>
              </w:rPr>
            </w:pPr>
            <w:r>
              <w:rPr>
                <w:rFonts w:hint="eastAsia"/>
                <w:lang w:val="en-US" w:eastAsia="zh-CN"/>
              </w:rPr>
              <w:t>助手工作台</w:t>
            </w:r>
          </w:p>
        </w:tc>
        <w:tc>
          <w:tcPr>
            <w:tcW w:w="1747" w:type="dxa"/>
            <w:vAlign w:val="center"/>
          </w:tcPr>
          <w:p>
            <w:pPr>
              <w:keepNext w:val="0"/>
              <w:keepLines w:val="0"/>
              <w:widowControl/>
              <w:suppressLineNumbers w:val="0"/>
              <w:jc w:val="center"/>
              <w:textAlignment w:val="center"/>
              <w:rPr>
                <w:rFonts w:hint="eastAsia" w:ascii="华文仿宋" w:hAnsi="华文仿宋" w:eastAsia="华文仿宋" w:cs="华文仿宋"/>
                <w:b w:val="0"/>
                <w:bCs w:val="0"/>
                <w:sz w:val="24"/>
                <w:szCs w:val="24"/>
                <w:lang w:val="en-US" w:eastAsia="zh-CN"/>
              </w:rPr>
            </w:pPr>
            <w:r>
              <w:rPr>
                <w:rFonts w:hint="eastAsi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top"/>
          </w:tcPr>
          <w:p>
            <w:pPr>
              <w:keepNext w:val="0"/>
              <w:keepLines w:val="0"/>
              <w:widowControl/>
              <w:suppressLineNumbers w:val="0"/>
              <w:jc w:val="center"/>
              <w:textAlignment w:val="top"/>
              <w:rPr>
                <w:rFonts w:hint="default" w:ascii="华文仿宋" w:hAnsi="华文仿宋" w:eastAsia="华文仿宋" w:cs="华文仿宋"/>
                <w:b w:val="0"/>
                <w:bCs w:val="0"/>
                <w:sz w:val="24"/>
                <w:szCs w:val="24"/>
                <w:lang w:val="en-US" w:eastAsia="zh-CN"/>
              </w:rPr>
            </w:pPr>
            <w:r>
              <w:rPr>
                <w:rFonts w:hint="eastAsia" w:ascii="华文仿宋" w:hAnsi="华文仿宋" w:eastAsia="华文仿宋" w:cs="华文仿宋"/>
                <w:b w:val="0"/>
                <w:bCs w:val="0"/>
                <w:sz w:val="24"/>
                <w:szCs w:val="24"/>
                <w:lang w:val="en-US" w:eastAsia="zh-CN"/>
              </w:rPr>
              <w:t>12</w:t>
            </w:r>
          </w:p>
        </w:tc>
        <w:tc>
          <w:tcPr>
            <w:tcW w:w="2687" w:type="dxa"/>
            <w:vAlign w:val="center"/>
          </w:tcPr>
          <w:p>
            <w:pPr>
              <w:keepNext w:val="0"/>
              <w:keepLines w:val="0"/>
              <w:widowControl/>
              <w:suppressLineNumbers w:val="0"/>
              <w:ind w:firstLine="210" w:firstLineChars="100"/>
              <w:jc w:val="center"/>
              <w:textAlignment w:val="center"/>
              <w:rPr>
                <w:rFonts w:hint="default"/>
                <w:lang w:val="en-US" w:eastAsia="zh-CN"/>
              </w:rPr>
            </w:pPr>
            <w:r>
              <w:rPr>
                <w:rFonts w:hint="eastAsia"/>
                <w:lang w:val="en-US" w:eastAsia="zh-CN"/>
              </w:rPr>
              <w:t>器械臂及不锈钢器械盘</w:t>
            </w:r>
          </w:p>
        </w:tc>
        <w:tc>
          <w:tcPr>
            <w:tcW w:w="1747" w:type="dxa"/>
            <w:vAlign w:val="center"/>
          </w:tcPr>
          <w:p>
            <w:pPr>
              <w:keepNext w:val="0"/>
              <w:keepLines w:val="0"/>
              <w:widowControl/>
              <w:suppressLineNumbers w:val="0"/>
              <w:jc w:val="center"/>
              <w:textAlignment w:val="center"/>
              <w:rPr>
                <w:rFonts w:hint="eastAsia" w:ascii="华文仿宋" w:hAnsi="华文仿宋" w:cs="华文仿宋" w:eastAsiaTheme="minorEastAsia"/>
                <w:b w:val="0"/>
                <w:bCs w:val="0"/>
                <w:sz w:val="24"/>
                <w:szCs w:val="24"/>
                <w:lang w:val="en-US" w:eastAsia="zh-CN"/>
              </w:rPr>
            </w:pPr>
            <w:r>
              <w:rPr>
                <w:rFonts w:hint="eastAsia"/>
              </w:rPr>
              <w:t>1</w:t>
            </w:r>
            <w:r>
              <w:rPr>
                <w:rFonts w:hint="eastAsia"/>
                <w:lang w:val="en-US" w:eastAsia="zh-CN"/>
              </w:rPr>
              <w:t>套</w:t>
            </w:r>
          </w:p>
        </w:tc>
      </w:tr>
    </w:tbl>
    <w:p>
      <w:pPr>
        <w:pStyle w:val="2"/>
        <w:rPr>
          <w:rFonts w:hint="default" w:asciiTheme="minorEastAsia" w:hAnsiTheme="minorEastAsia" w:eastAsiaTheme="minorEastAsia" w:cstheme="minorEastAsia"/>
          <w:bCs/>
          <w:color w:val="FF0000"/>
          <w:kern w:val="0"/>
          <w:sz w:val="24"/>
          <w:szCs w:val="24"/>
          <w:lang w:val="en-US" w:eastAsia="zh-CN" w:bidi="ar-SA"/>
        </w:rPr>
      </w:pPr>
    </w:p>
    <w:p>
      <w:pPr>
        <w:pStyle w:val="3"/>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*1、运输、装卸、培训、安装调试：由中标人负责承担，最终通过使用科室、设备科及相关部门确认验收交付使用。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*2、交货时间：按合同约定的送货日期内将设备运至娄底市中心医院指定交货地点，逾期按合同赔付。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付款方式：设备验收合格后，供应商将发票交到娄底市中心医院后按程序支付货款90%（按医院财务制度一般情况下4个月内支付、特殊情况下最多不超过6个月），甲方在设备验收合格满2年后支付10%余款给乙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*4、交货地点：娄底市中心医院。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*5、质保与售后：整机保修2年，终身维修。出具原厂售后质保承诺书，质保期内每年巡检两次。质保期内出现故障，24小时响应，响应后4小时上门服务。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*6、在投标文件中必须提供相关佐证资料（加盖原厂公章的技术参数、技术白皮书、说明书、彩页），并在响应表中备注该条参数响应或正偏离的佐证资料所在页码。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法定代表人：李红辉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院内议价</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牙科综合治疗台（种植）</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牙科综合治疗台（种植）</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10"/>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925"/>
        <w:gridCol w:w="1000"/>
        <w:gridCol w:w="1362"/>
        <w:gridCol w:w="87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816"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92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00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62"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87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433"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816"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牙科综合治疗台（种植）</w:t>
            </w:r>
          </w:p>
        </w:tc>
        <w:tc>
          <w:tcPr>
            <w:tcW w:w="925"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00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62"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87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1433"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FF"/>
          <w:sz w:val="24"/>
          <w:szCs w:val="24"/>
          <w:lang w:val="en-US" w:eastAsia="zh-CN"/>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w:t>
      </w:r>
      <w:r>
        <w:rPr>
          <w:rFonts w:hint="eastAsia" w:ascii="宋体" w:hAnsi="宋体" w:eastAsia="宋体" w:cs="宋体"/>
          <w:color w:val="FF0000"/>
          <w:sz w:val="24"/>
          <w:szCs w:val="24"/>
          <w:highlight w:val="none"/>
        </w:rPr>
        <w:t>使用科室、设备科及相关部门</w:t>
      </w:r>
      <w:r>
        <w:rPr>
          <w:rFonts w:hint="eastAsia" w:ascii="宋体" w:hAnsi="宋体" w:eastAsia="宋体" w:cs="宋体"/>
          <w:color w:val="auto"/>
          <w:sz w:val="24"/>
          <w:szCs w:val="24"/>
          <w:highlight w:val="none"/>
          <w:lang w:val="en-US" w:eastAsia="zh-CN"/>
        </w:rPr>
        <w:t>进行总体验收，验收合格后签署总体验收报告单。如经甲方验收不合格，乙方应在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cs="宋体"/>
          <w:color w:val="0000FF"/>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质保期内，乙方每年至少对设备进行两次巡检并免费保养。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 xml:space="preserve"> </w:t>
      </w:r>
      <w:r>
        <w:rPr>
          <w:rFonts w:hint="eastAsia" w:ascii="宋体" w:hAnsi="宋体" w:cs="宋体"/>
          <w:color w:val="0000FF"/>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spacing w:line="360" w:lineRule="auto"/>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903"/>
        <w:gridCol w:w="1245"/>
        <w:gridCol w:w="6318"/>
        <w:gridCol w:w="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sz w:val="24"/>
                <w:szCs w:val="24"/>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w:t>
            </w:r>
            <w:r>
              <w:rPr>
                <w:rFonts w:hint="eastAsia" w:ascii="宋体" w:hAnsi="宋体" w:cs="Times New Roman"/>
                <w:color w:val="auto"/>
                <w:sz w:val="24"/>
                <w:szCs w:val="24"/>
                <w:lang w:eastAsia="zh-CN"/>
              </w:rPr>
              <w:t>投标货物的</w:t>
            </w:r>
            <w:r>
              <w:rPr>
                <w:rFonts w:hint="eastAsia" w:ascii="宋体" w:hAnsi="宋体" w:cs="Times New Roman"/>
                <w:color w:val="auto"/>
                <w:sz w:val="24"/>
                <w:szCs w:val="24"/>
              </w:rPr>
              <w:t>同类型合作业绩，</w:t>
            </w:r>
            <w:r>
              <w:rPr>
                <w:rFonts w:hint="eastAsia" w:ascii="宋体" w:hAnsi="宋体" w:cs="Times New Roman"/>
                <w:color w:val="auto"/>
                <w:sz w:val="24"/>
                <w:szCs w:val="24"/>
                <w:lang w:eastAsia="zh-CN"/>
              </w:rPr>
              <w:t>（自开标开标之日止前五年）</w:t>
            </w:r>
            <w:r>
              <w:rPr>
                <w:rFonts w:hint="eastAsia" w:ascii="宋体" w:hAnsi="宋体" w:cs="Times New Roman"/>
                <w:color w:val="auto"/>
                <w:sz w:val="24"/>
                <w:szCs w:val="24"/>
              </w:rPr>
              <w:t>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sz w:val="24"/>
                <w:szCs w:val="24"/>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4"/>
                <w:szCs w:val="24"/>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4"/>
                <w:szCs w:val="24"/>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w:t>
            </w:r>
            <w:r>
              <w:rPr>
                <w:rFonts w:hint="eastAsia" w:ascii="宋体" w:hAnsi="宋体" w:cs="Times New Roman"/>
                <w:color w:val="auto"/>
                <w:sz w:val="24"/>
                <w:szCs w:val="24"/>
                <w:lang w:val="en-US" w:eastAsia="zh-CN"/>
              </w:rPr>
              <w:t>及商务参数</w:t>
            </w:r>
            <w:r>
              <w:rPr>
                <w:rFonts w:hint="eastAsia" w:ascii="宋体" w:hAnsi="宋体" w:eastAsia="宋体" w:cs="Times New Roman"/>
                <w:color w:val="auto"/>
                <w:sz w:val="24"/>
                <w:szCs w:val="24"/>
                <w:lang w:val="en-US" w:eastAsia="zh-CN"/>
              </w:rPr>
              <w:t>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sz w:val="24"/>
                <w:szCs w:val="24"/>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szCs w:val="24"/>
                <w14:textFill>
                  <w14:solidFill>
                    <w14:schemeClr w14:val="tx1"/>
                  </w14:solidFill>
                </w14:textFill>
              </w:rPr>
              <w:t>条款算一项技术要求项数</w:t>
            </w:r>
            <w:r>
              <w:rPr>
                <w:rFonts w:hint="eastAsia" w:ascii="宋体" w:hAnsi="宋体"/>
                <w:color w:val="000000" w:themeColor="text1"/>
                <w:sz w:val="24"/>
                <w:szCs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4"/>
        <w:rPr>
          <w:rFonts w:hint="eastAsia" w:ascii="宋体" w:hAnsi="宋体" w:cs="宋体"/>
          <w:color w:val="auto"/>
          <w:sz w:val="24"/>
          <w:szCs w:val="24"/>
        </w:rPr>
      </w:pPr>
    </w:p>
    <w:p>
      <w:pPr>
        <w:spacing w:before="120" w:beforeLines="50" w:after="120" w:afterLines="50" w:line="360" w:lineRule="auto"/>
        <w:rPr>
          <w:color w:val="auto"/>
        </w:rPr>
      </w:pPr>
      <w:r>
        <w:rPr>
          <w:rFonts w:hint="eastAsia" w:ascii="宋体" w:hAnsi="宋体" w:cs="宋体"/>
          <w:color w:val="auto"/>
          <w:sz w:val="24"/>
          <w:szCs w:val="24"/>
        </w:rPr>
        <w:t>注：（1）全体评标委员会对投标人评分的算数平均值即为该投标人的最终评标得分（不得去评分项目的最高得分和最低得分），评分分值计算保留小数点后两位，小数点后第三位“四舍五入”。</w:t>
      </w:r>
    </w:p>
    <w:p>
      <w:pPr>
        <w:rPr>
          <w:color w:val="auto"/>
        </w:rPr>
      </w:pPr>
      <w:r>
        <w:rPr>
          <w:color w:val="auto"/>
        </w:rPr>
        <w:br w:type="page"/>
      </w:r>
    </w:p>
    <w:p>
      <w:pPr>
        <w:pStyle w:val="14"/>
        <w:rPr>
          <w:color w:val="auto"/>
        </w:rPr>
      </w:pPr>
    </w:p>
    <w:p>
      <w:pPr>
        <w:pStyle w:val="14"/>
        <w:widowControl w:val="0"/>
        <w:numPr>
          <w:ilvl w:val="0"/>
          <w:numId w:val="0"/>
        </w:numPr>
        <w:jc w:val="both"/>
        <w:rPr>
          <w:color w:val="auto"/>
          <w:sz w:val="28"/>
          <w:szCs w:val="28"/>
        </w:rPr>
      </w:pPr>
    </w:p>
    <w:p>
      <w:pPr>
        <w:pStyle w:val="14"/>
        <w:widowControl w:val="0"/>
        <w:numPr>
          <w:ilvl w:val="0"/>
          <w:numId w:val="0"/>
        </w:numPr>
        <w:jc w:val="both"/>
        <w:rPr>
          <w:color w:val="auto"/>
          <w:sz w:val="28"/>
          <w:szCs w:val="28"/>
        </w:rPr>
      </w:pPr>
    </w:p>
    <w:p>
      <w:pPr>
        <w:pStyle w:val="3"/>
        <w:numPr>
          <w:ilvl w:val="0"/>
          <w:numId w:val="4"/>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6"/>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6"/>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4"/>
        <w:rPr>
          <w:rFonts w:hint="eastAsia"/>
          <w:lang w:eastAsia="zh-CN"/>
        </w:rPr>
      </w:pPr>
    </w:p>
    <w:p>
      <w:pPr>
        <w:numPr>
          <w:ilvl w:val="0"/>
          <w:numId w:val="5"/>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r>
        <w:rPr>
          <w:rFonts w:hint="eastAsia" w:ascii="宋体" w:hAnsi="宋体" w:cs="宋体"/>
          <w:color w:val="auto"/>
          <w:sz w:val="24"/>
          <w:lang w:eastAsia="zh-CN"/>
        </w:rPr>
        <w:t>。</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F22833F1"/>
    <w:multiLevelType w:val="singleLevel"/>
    <w:tmpl w:val="F22833F1"/>
    <w:lvl w:ilvl="0" w:tentative="0">
      <w:start w:val="1"/>
      <w:numFmt w:val="decimal"/>
      <w:suff w:val="nothing"/>
      <w:lvlText w:val="%1、"/>
      <w:lvlJc w:val="left"/>
    </w:lvl>
  </w:abstractNum>
  <w:abstractNum w:abstractNumId="4">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6E91EC4"/>
    <w:rsid w:val="12994AC5"/>
    <w:rsid w:val="1AF56B46"/>
    <w:rsid w:val="1FE73549"/>
    <w:rsid w:val="20B41DA7"/>
    <w:rsid w:val="23D826F9"/>
    <w:rsid w:val="28E81B29"/>
    <w:rsid w:val="2C7642D0"/>
    <w:rsid w:val="2EAC037F"/>
    <w:rsid w:val="2EB67A5C"/>
    <w:rsid w:val="302741D2"/>
    <w:rsid w:val="308B184D"/>
    <w:rsid w:val="340F06E9"/>
    <w:rsid w:val="3B3B544D"/>
    <w:rsid w:val="3B654F2B"/>
    <w:rsid w:val="429A4992"/>
    <w:rsid w:val="43B25DAC"/>
    <w:rsid w:val="4DCD6AB3"/>
    <w:rsid w:val="50433432"/>
    <w:rsid w:val="50540C20"/>
    <w:rsid w:val="512A3701"/>
    <w:rsid w:val="51AC28BD"/>
    <w:rsid w:val="611B6B1B"/>
    <w:rsid w:val="64133D6A"/>
    <w:rsid w:val="6DE375E4"/>
    <w:rsid w:val="72D33D5F"/>
    <w:rsid w:val="735759D3"/>
    <w:rsid w:val="7B0D1444"/>
    <w:rsid w:val="7BBF44BB"/>
    <w:rsid w:val="7BF15CE4"/>
    <w:rsid w:val="7E996A44"/>
    <w:rsid w:val="7EA80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5">
    <w:name w:val="Body Text Indent"/>
    <w:basedOn w:val="1"/>
    <w:next w:val="6"/>
    <w:qFormat/>
    <w:uiPriority w:val="99"/>
    <w:pPr>
      <w:spacing w:line="400" w:lineRule="exact"/>
      <w:ind w:left="630"/>
    </w:pPr>
    <w:rPr>
      <w:rFonts w:ascii="楷体_GB2312"/>
      <w:sz w:val="30"/>
      <w:szCs w:val="30"/>
    </w:rPr>
  </w:style>
  <w:style w:type="paragraph" w:styleId="6">
    <w:name w:val="Body Text First Indent 2"/>
    <w:basedOn w:val="5"/>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6"/>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8885</Words>
  <Characters>9336</Characters>
  <Lines>0</Lines>
  <Paragraphs>0</Paragraphs>
  <TotalTime>0</TotalTime>
  <ScaleCrop>false</ScaleCrop>
  <LinksUpToDate>false</LinksUpToDate>
  <CharactersWithSpaces>10257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2023-07-31T00:38:40Z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3505A2AB25E048A4A9B0E6A6741CA1BA_11</vt:lpwstr>
  </property>
</Properties>
</file>