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医保新增接口改造及智能网审接口</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娄底市中心医院医保新增接口改造及智能网审接口项目进行单一来源采购，现邀请你单位</w:t>
      </w:r>
      <w:r>
        <w:rPr>
          <w:rFonts w:hint="eastAsia" w:hAnsi="Times New Roman"/>
          <w:bCs/>
          <w:color w:val="auto"/>
          <w:sz w:val="28"/>
          <w:szCs w:val="28"/>
          <w:lang w:val="en-US" w:eastAsia="zh-CN"/>
        </w:rPr>
        <w:t>（卫宁健康科技集团股份有限公司</w:t>
      </w:r>
      <w:r>
        <w:rPr>
          <w:rFonts w:hint="eastAsia"/>
          <w:bCs/>
          <w:color w:val="auto"/>
          <w:sz w:val="28"/>
          <w:szCs w:val="28"/>
          <w:lang w:val="en-US" w:eastAsia="zh-CN"/>
        </w:rPr>
        <w:t>）参加协商。</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医保新增接口改造及智能网审接口项目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w:t>
      </w:r>
      <w:bookmarkStart w:id="4" w:name="_GoBack"/>
      <w:bookmarkEnd w:id="4"/>
      <w:r>
        <w:rPr>
          <w:rFonts w:hint="eastAsia"/>
          <w:bCs/>
          <w:color w:val="auto"/>
          <w:sz w:val="28"/>
          <w:szCs w:val="28"/>
          <w:lang w:val="en-US" w:eastAsia="zh-CN"/>
        </w:rPr>
        <w:t>报名结束后另行通知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医保新增接口改造及智能网审接口</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17.5万元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pPr>
        <w:spacing w:after="156" w:afterLines="50" w:line="360" w:lineRule="auto"/>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rPr>
        <w:t>一</w:t>
      </w:r>
      <w:r>
        <w:rPr>
          <w:rFonts w:hint="eastAsia" w:ascii="仿宋" w:hAnsi="仿宋" w:eastAsia="仿宋" w:cs="仿宋"/>
          <w:b/>
          <w:bCs/>
          <w:sz w:val="28"/>
          <w:szCs w:val="28"/>
          <w:lang w:eastAsia="zh-CN"/>
        </w:rPr>
        <w:t>）</w:t>
      </w:r>
      <w:r>
        <w:rPr>
          <w:rFonts w:hint="eastAsia" w:ascii="仿宋" w:hAnsi="仿宋" w:eastAsia="仿宋" w:cs="仿宋"/>
          <w:b/>
          <w:bCs/>
          <w:sz w:val="28"/>
          <w:szCs w:val="28"/>
        </w:rPr>
        <w:t>医保接口服务总体要求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为提升医疗服务质量，确保按照医保标准高质量完成对接，根据湖南省医保局关于印发湖南省医疗保障信息平台定点医药接口规范V1.1.25的通知，需要对医保事前事中审核分析数据信息进行调取。</w:t>
      </w:r>
    </w:p>
    <w:p>
      <w:pPr>
        <w:spacing w:after="156" w:afterLines="50"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（二）技术参数</w:t>
      </w:r>
    </w:p>
    <w:p>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完成如下</w:t>
      </w:r>
      <w:r>
        <w:rPr>
          <w:rFonts w:hint="eastAsia" w:ascii="仿宋" w:hAnsi="仿宋" w:eastAsia="仿宋" w:cs="仿宋"/>
          <w:b/>
          <w:bCs/>
          <w:sz w:val="24"/>
          <w:szCs w:val="24"/>
        </w:rPr>
        <w:t>接口列表</w:t>
      </w:r>
      <w:r>
        <w:rPr>
          <w:rFonts w:hint="eastAsia" w:ascii="仿宋" w:hAnsi="仿宋" w:eastAsia="仿宋" w:cs="仿宋"/>
          <w:b/>
          <w:bCs/>
          <w:sz w:val="24"/>
          <w:szCs w:val="24"/>
          <w:lang w:eastAsia="zh-CN"/>
        </w:rPr>
        <w:t>：</w:t>
      </w:r>
    </w:p>
    <w:tbl>
      <w:tblPr>
        <w:tblStyle w:val="11"/>
        <w:tblW w:w="881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299"/>
        <w:gridCol w:w="1276"/>
        <w:gridCol w:w="1702"/>
        <w:gridCol w:w="127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1253" w:type="dxa"/>
            <w:shd w:val="clear" w:color="000000" w:fill="D9D9D9"/>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接口编号</w:t>
            </w:r>
          </w:p>
        </w:tc>
        <w:tc>
          <w:tcPr>
            <w:tcW w:w="1299" w:type="dxa"/>
            <w:shd w:val="clear" w:color="000000" w:fill="D9D9D9"/>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一级分类</w:t>
            </w:r>
          </w:p>
        </w:tc>
        <w:tc>
          <w:tcPr>
            <w:tcW w:w="1276" w:type="dxa"/>
            <w:shd w:val="clear" w:color="000000" w:fill="D9D9D9"/>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二级分类</w:t>
            </w:r>
          </w:p>
        </w:tc>
        <w:tc>
          <w:tcPr>
            <w:tcW w:w="1702" w:type="dxa"/>
            <w:shd w:val="clear" w:color="000000" w:fill="D9D9D9"/>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接口名称</w:t>
            </w:r>
          </w:p>
        </w:tc>
        <w:tc>
          <w:tcPr>
            <w:tcW w:w="1275" w:type="dxa"/>
            <w:shd w:val="clear" w:color="000000" w:fill="D9D9D9"/>
            <w:vAlign w:val="center"/>
          </w:tcPr>
          <w:p>
            <w:pPr>
              <w:jc w:val="center"/>
              <w:rPr>
                <w:rFonts w:hint="eastAsia" w:ascii="仿宋" w:hAnsi="仿宋" w:eastAsia="仿宋" w:cs="仿宋"/>
                <w:sz w:val="24"/>
                <w:szCs w:val="24"/>
              </w:rPr>
            </w:pPr>
            <w:r>
              <w:rPr>
                <w:rFonts w:hint="eastAsia" w:ascii="仿宋" w:hAnsi="仿宋" w:eastAsia="仿宋" w:cs="仿宋"/>
                <w:sz w:val="24"/>
                <w:szCs w:val="24"/>
              </w:rPr>
              <w:t>调用方式</w:t>
            </w:r>
          </w:p>
        </w:tc>
        <w:tc>
          <w:tcPr>
            <w:tcW w:w="2006" w:type="dxa"/>
            <w:shd w:val="clear" w:color="000000" w:fill="D9D9D9"/>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3101</w:t>
            </w:r>
          </w:p>
        </w:tc>
        <w:tc>
          <w:tcPr>
            <w:tcW w:w="1299"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3-医药机构管理</w:t>
            </w:r>
          </w:p>
        </w:tc>
        <w:tc>
          <w:tcPr>
            <w:tcW w:w="1276"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1-明细审核</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明细审核分析服务</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通过此交易进行事前中的明细审核分析。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3102</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明细审核事中分析服务</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通过此交易进行事中的明细审核分析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3103</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事前事中服务反馈服务</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通过此交易进行事前提醒/事中预警后医药机构端的处理方式（继续执行医嘱（处方）、返回修改医嘱（处方））的信息采集功能。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1306A</w:t>
            </w:r>
          </w:p>
        </w:tc>
        <w:tc>
          <w:tcPr>
            <w:tcW w:w="1299"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1-基础信息</w:t>
            </w:r>
          </w:p>
          <w:p>
            <w:pPr>
              <w:jc w:val="center"/>
              <w:rPr>
                <w:rFonts w:hint="eastAsia" w:ascii="仿宋" w:hAnsi="仿宋" w:eastAsia="仿宋" w:cs="仿宋"/>
                <w:sz w:val="24"/>
                <w:szCs w:val="24"/>
              </w:rPr>
            </w:pPr>
          </w:p>
        </w:tc>
        <w:tc>
          <w:tcPr>
            <w:tcW w:w="1276"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3-目录下载</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27位医用耗材目录下载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1322</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体外诊断试剂产品信息下载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1323</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体外诊断试剂产品信息与注册证关联信息下载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1324</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体外诊断试剂检测指标信息下载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1325</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体外诊断试剂产品信息编码下载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1326</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体外诊断试剂试剂注册证信息下载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1327</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体外诊断试剂分类目录下载</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根据本地最大版本号信息获取大于本地版本的目录信息。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3501A</w:t>
            </w:r>
          </w:p>
        </w:tc>
        <w:tc>
          <w:tcPr>
            <w:tcW w:w="1299"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3-医药机构管理</w:t>
            </w:r>
          </w:p>
        </w:tc>
        <w:tc>
          <w:tcPr>
            <w:tcW w:w="1276"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5-进销存管理</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商品盘存上传</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通过此交易批量上传商品盘存信息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3502A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商品库存变更</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通过此交易批量上传商品的库存变化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3503A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商品采购</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通过此交易批量上传商品采购信息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3504A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商品采购退货</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通过此交易批量上传商品采购退货信息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3505A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商品销售</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通过此交易批量上传商品销售信息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3506A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商品销售退货</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通过此交易批量上传商品销售退货信息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3507A</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商品信息删除</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通过此交易批量删除某一批次商品信息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3508</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定点医药机构商品库存信息查询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通过此交易查询定点医药机构上传商品库存信息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3509</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定点医药机构商品库存变更记录查询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通过此交易查询定点医药机构上传商品库存变更记录信息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3510</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定点医药机构商品采购信息查询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通过此交易查询定点医药机构上传商品采购信息表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3511</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定点医药机构商品销售信息查询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通过此交易查询定点医药机构上传商品销售信息表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4402A</w:t>
            </w:r>
          </w:p>
        </w:tc>
        <w:tc>
          <w:tcPr>
            <w:tcW w:w="1299"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4-信息采集上传</w:t>
            </w:r>
          </w:p>
        </w:tc>
        <w:tc>
          <w:tcPr>
            <w:tcW w:w="1276"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4-住院业务</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住院医嘱记录</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通过此交易上传住院医嘱记录。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4507</w:t>
            </w:r>
          </w:p>
        </w:tc>
        <w:tc>
          <w:tcPr>
            <w:tcW w:w="1299" w:type="dxa"/>
            <w:vMerge w:val="continue"/>
            <w:vAlign w:val="center"/>
          </w:tcPr>
          <w:p>
            <w:pPr>
              <w:jc w:val="center"/>
              <w:rPr>
                <w:rFonts w:hint="eastAsia" w:ascii="仿宋" w:hAnsi="仿宋" w:eastAsia="仿宋" w:cs="仿宋"/>
                <w:sz w:val="24"/>
                <w:szCs w:val="24"/>
              </w:rPr>
            </w:pPr>
          </w:p>
        </w:tc>
        <w:tc>
          <w:tcPr>
            <w:tcW w:w="1276"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5-临床辅助业务</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临床检查报告记录查询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通过此交易获取临床检查报告记录结果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4508</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临床检验报告记录查询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通过此交易获取临床检验报告记录结果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4509</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细菌培养报告记录查询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通过此交易获取细菌培养报告记录结果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4510</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药敏检查报告记录查询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通过此交易获取药敏检查报告记录结果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4511</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病理检查报告记录查询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通过此交易获取病理检查报告记录结果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4512</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非结构化报告记录查询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定时/每天</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通过此交易获取非结构化报告记录结果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5501</w:t>
            </w:r>
          </w:p>
        </w:tc>
        <w:tc>
          <w:tcPr>
            <w:tcW w:w="1299"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10-电子票据</w:t>
            </w:r>
          </w:p>
        </w:tc>
        <w:tc>
          <w:tcPr>
            <w:tcW w:w="1276"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医疗机构电子结算凭证信息管理</w:t>
            </w: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查询电子结算凭证状态</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通过此交易查询电子结算凭证状态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4901</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医疗机构上传电子结算凭证</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通过此交易医疗机构上传电子结算凭证信息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4902</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医疗机构电子结算凭证上传结果查询</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通过此交易医疗机构查询电子结算凭证上传结果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53" w:type="dxa"/>
            <w:shd w:val="clear" w:color="auto" w:fill="auto"/>
            <w:noWrap/>
            <w:vAlign w:val="center"/>
          </w:tcPr>
          <w:p>
            <w:pPr>
              <w:jc w:val="center"/>
              <w:rPr>
                <w:rFonts w:hint="eastAsia" w:ascii="仿宋" w:hAnsi="仿宋" w:eastAsia="仿宋" w:cs="仿宋"/>
                <w:sz w:val="24"/>
                <w:szCs w:val="24"/>
              </w:rPr>
            </w:pPr>
            <w:r>
              <w:rPr>
                <w:rFonts w:hint="eastAsia" w:ascii="仿宋" w:hAnsi="仿宋" w:eastAsia="仿宋" w:cs="仿宋"/>
                <w:sz w:val="24"/>
                <w:szCs w:val="24"/>
              </w:rPr>
              <w:t>4905</w:t>
            </w:r>
          </w:p>
        </w:tc>
        <w:tc>
          <w:tcPr>
            <w:tcW w:w="1299" w:type="dxa"/>
            <w:vMerge w:val="continue"/>
            <w:vAlign w:val="center"/>
          </w:tcPr>
          <w:p>
            <w:pPr>
              <w:jc w:val="center"/>
              <w:rPr>
                <w:rFonts w:hint="eastAsia" w:ascii="仿宋" w:hAnsi="仿宋" w:eastAsia="仿宋" w:cs="仿宋"/>
                <w:sz w:val="24"/>
                <w:szCs w:val="24"/>
              </w:rPr>
            </w:pPr>
          </w:p>
        </w:tc>
        <w:tc>
          <w:tcPr>
            <w:tcW w:w="1276" w:type="dxa"/>
            <w:vMerge w:val="continue"/>
            <w:vAlign w:val="center"/>
          </w:tcPr>
          <w:p>
            <w:pPr>
              <w:jc w:val="center"/>
              <w:rPr>
                <w:rFonts w:hint="eastAsia" w:ascii="仿宋" w:hAnsi="仿宋" w:eastAsia="仿宋" w:cs="仿宋"/>
                <w:sz w:val="24"/>
                <w:szCs w:val="24"/>
              </w:rPr>
            </w:pPr>
          </w:p>
        </w:tc>
        <w:tc>
          <w:tcPr>
            <w:tcW w:w="1702"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医疗机构重新上传电子结算凭证</w:t>
            </w:r>
          </w:p>
        </w:tc>
        <w:tc>
          <w:tcPr>
            <w:tcW w:w="127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实时</w:t>
            </w:r>
          </w:p>
        </w:tc>
        <w:tc>
          <w:tcPr>
            <w:tcW w:w="200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通过此交易医疗机构重新上传电子结算凭证</w:t>
            </w:r>
          </w:p>
        </w:tc>
      </w:tr>
    </w:tbl>
    <w:p>
      <w:pPr>
        <w:numPr>
          <w:ilvl w:val="0"/>
          <w:numId w:val="1"/>
        </w:numPr>
        <w:spacing w:after="156" w:afterLines="50"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商务参数</w:t>
      </w:r>
    </w:p>
    <w:p>
      <w:pPr>
        <w:numPr>
          <w:ilvl w:val="0"/>
          <w:numId w:val="0"/>
        </w:numPr>
        <w:spacing w:after="156" w:afterLines="50" w:line="360" w:lineRule="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付款方式：自本项目上线后并收到发票30日内，支付服务费用90%；自本项目经甲方书面验收合格之日起30日内，支付服务费用10%余款。</w:t>
      </w:r>
    </w:p>
    <w:p>
      <w:pPr>
        <w:numPr>
          <w:ilvl w:val="0"/>
          <w:numId w:val="0"/>
        </w:numPr>
        <w:spacing w:after="156" w:afterLines="50" w:line="360" w:lineRule="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验收：</w:t>
      </w:r>
      <w:r>
        <w:rPr>
          <w:rFonts w:hint="eastAsia" w:ascii="仿宋" w:hAnsi="仿宋" w:eastAsia="仿宋" w:cs="仿宋"/>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 7 日内按本合同约定和采购需求进行验收，验收合格的签署验收合格报告；如经甲方验收不合格，乙方须在 3 日内无条件返工到位。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4"/>
        <w:rPr>
          <w:rFonts w:hint="eastAsia" w:ascii="仿宋_GB2312" w:hAnsi="Times New Roman" w:eastAsia="仿宋_GB2312" w:cs="仿宋_GB2312"/>
          <w:bCs/>
          <w:color w:val="auto"/>
          <w:kern w:val="0"/>
          <w:sz w:val="28"/>
          <w:szCs w:val="28"/>
          <w:lang w:val="en-US" w:eastAsia="zh-CN" w:bidi="ar-SA"/>
        </w:rPr>
      </w:pPr>
    </w:p>
    <w:p>
      <w:pPr>
        <w:pStyle w:val="14"/>
        <w:numPr>
          <w:ilvl w:val="0"/>
          <w:numId w:val="2"/>
        </w:num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000000"/>
          <w:sz w:val="28"/>
          <w:szCs w:val="28"/>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接口服务合同（医保新增接口改造及智能网审接口）</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为提升医疗服务质量，甲方</w:t>
      </w:r>
      <w:r>
        <w:rPr>
          <w:rFonts w:hint="eastAsia" w:ascii="宋体" w:hAnsi="宋体" w:cs="宋体"/>
          <w:color w:val="000000"/>
          <w:sz w:val="28"/>
          <w:szCs w:val="28"/>
          <w:lang w:val="en-US" w:eastAsia="zh-CN"/>
        </w:rPr>
        <w:t>根据湖南省医保局关于印发湖南省医疗保障信息平台定点医药接口规范V1.1.25的通知，</w:t>
      </w:r>
      <w:r>
        <w:rPr>
          <w:rFonts w:hint="eastAsia" w:ascii="宋体" w:hAnsi="宋体" w:cs="宋体"/>
          <w:color w:val="000000"/>
          <w:sz w:val="28"/>
          <w:szCs w:val="28"/>
          <w:u w:val="none"/>
          <w:lang w:val="en-US" w:eastAsia="zh-CN"/>
        </w:rPr>
        <w:t>需要对</w:t>
      </w:r>
      <w:r>
        <w:rPr>
          <w:rFonts w:hint="eastAsia" w:ascii="宋体" w:hAnsi="宋体" w:eastAsia="宋体" w:cs="宋体"/>
          <w:color w:val="000000"/>
          <w:sz w:val="28"/>
          <w:szCs w:val="28"/>
          <w:lang w:val="en-US" w:eastAsia="zh-CN"/>
        </w:rPr>
        <w:t>HIS系统</w:t>
      </w:r>
      <w:r>
        <w:rPr>
          <w:rFonts w:hint="eastAsia" w:ascii="宋体" w:hAnsi="宋体" w:cs="宋体"/>
          <w:color w:val="000000"/>
          <w:sz w:val="28"/>
          <w:szCs w:val="28"/>
          <w:lang w:val="en-US" w:eastAsia="zh-CN"/>
        </w:rPr>
        <w:t>数据</w:t>
      </w:r>
      <w:r>
        <w:rPr>
          <w:rFonts w:hint="eastAsia" w:ascii="宋体" w:hAnsi="宋体" w:eastAsia="宋体" w:cs="宋体"/>
          <w:color w:val="000000"/>
          <w:sz w:val="28"/>
          <w:szCs w:val="28"/>
          <w:lang w:val="en-US" w:eastAsia="zh-CN"/>
        </w:rPr>
        <w:t>信息</w:t>
      </w:r>
      <w:r>
        <w:rPr>
          <w:rFonts w:hint="eastAsia" w:ascii="宋体" w:hAnsi="宋体" w:cs="宋体"/>
          <w:color w:val="000000"/>
          <w:sz w:val="28"/>
          <w:szCs w:val="28"/>
          <w:lang w:val="en-US" w:eastAsia="zh-CN"/>
        </w:rPr>
        <w:t>进行</w:t>
      </w:r>
      <w:r>
        <w:rPr>
          <w:rFonts w:hint="eastAsia" w:ascii="宋体" w:hAnsi="宋体" w:eastAsia="宋体" w:cs="宋体"/>
          <w:color w:val="000000"/>
          <w:sz w:val="28"/>
          <w:szCs w:val="28"/>
          <w:lang w:val="en-US" w:eastAsia="zh-CN"/>
        </w:rPr>
        <w:t>调取，因乙方为HIS系统软件开发商，现甲方采用院内单一来源采购方式向乙方采购</w:t>
      </w:r>
      <w:r>
        <w:rPr>
          <w:rFonts w:hint="eastAsia" w:ascii="宋体" w:hAnsi="宋体" w:cs="宋体"/>
          <w:color w:val="000000"/>
          <w:sz w:val="28"/>
          <w:szCs w:val="28"/>
          <w:u w:val="single"/>
          <w:lang w:val="en-US" w:eastAsia="zh-CN"/>
        </w:rPr>
        <w:t>医保新增接口改造及智能网审接口</w:t>
      </w:r>
      <w:r>
        <w:rPr>
          <w:rFonts w:hint="eastAsia" w:ascii="宋体" w:hAnsi="宋体" w:eastAsia="宋体" w:cs="宋体"/>
          <w:color w:val="000000"/>
          <w:sz w:val="28"/>
          <w:szCs w:val="28"/>
          <w:lang w:val="en-US" w:eastAsia="zh-CN"/>
        </w:rPr>
        <w:t>。根据《中华人民共和国民法典》及相关法律法规规定，甲乙双方就</w:t>
      </w:r>
      <w:r>
        <w:rPr>
          <w:rFonts w:hint="eastAsia" w:ascii="宋体" w:hAnsi="宋体" w:cs="宋体"/>
          <w:color w:val="000000"/>
          <w:sz w:val="28"/>
          <w:szCs w:val="28"/>
          <w:u w:val="single"/>
          <w:lang w:val="en-US" w:eastAsia="zh-CN"/>
        </w:rPr>
        <w:t>医保新增接口改造及智能网审接口</w:t>
      </w:r>
      <w:r>
        <w:rPr>
          <w:rFonts w:hint="eastAsia" w:ascii="宋体" w:hAnsi="宋体" w:eastAsia="宋体" w:cs="宋体"/>
          <w:color w:val="000000"/>
          <w:sz w:val="28"/>
          <w:szCs w:val="28"/>
          <w:lang w:val="en-US" w:eastAsia="zh-CN"/>
        </w:rPr>
        <w:t>事宜协商一致，特订立本合同，以资共同遵守。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医保新增接口改造及智能网审接口</w:t>
      </w:r>
      <w:r>
        <w:rPr>
          <w:rFonts w:hint="eastAsia" w:ascii="宋体" w:hAnsi="宋体" w:eastAsia="宋体" w:cs="宋体"/>
          <w:color w:val="000000"/>
          <w:sz w:val="28"/>
          <w:szCs w:val="28"/>
          <w:lang w:val="en-US"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114"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卫宁健康医院信息管理软件V5.0</w:t>
            </w:r>
          </w:p>
        </w:tc>
        <w:tc>
          <w:tcPr>
            <w:tcW w:w="1541" w:type="dxa"/>
            <w:noWrap w:val="0"/>
            <w:vAlign w:val="center"/>
          </w:tcPr>
          <w:p>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eastAsia="宋体" w:cs="宋体"/>
                <w:color w:val="000000"/>
                <w:vertAlign w:val="baseline"/>
                <w:lang w:val="en-US" w:eastAsia="zh-CN"/>
              </w:rPr>
              <w:t>医保新增接口改造及智能网审接口</w:t>
            </w:r>
          </w:p>
        </w:tc>
        <w:tc>
          <w:tcPr>
            <w:tcW w:w="859" w:type="dxa"/>
            <w:noWrap w:val="0"/>
            <w:vAlign w:val="center"/>
          </w:tcPr>
          <w:p>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114" w:type="dxa"/>
            <w:noWrap w:val="0"/>
            <w:vAlign w:val="center"/>
          </w:tcPr>
          <w:p>
            <w:pPr>
              <w:pStyle w:val="9"/>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cs="Times New Roman"/>
                <w:color w:val="000000"/>
                <w:lang w:val="en-US" w:eastAsia="zh-CN"/>
              </w:rPr>
              <w:t>湖南省医疗保障信息平台定点医药接口规范V1.1.25的通知</w:t>
            </w:r>
            <w:r>
              <w:rPr>
                <w:rFonts w:hint="eastAsia" w:ascii="Calibri" w:hAnsi="Calibri" w:eastAsia="宋体" w:cs="Times New Roman"/>
                <w:color w:val="000000"/>
                <w:lang w:val="en-US" w:eastAsia="zh-CN"/>
              </w:rPr>
              <w:t>》</w:t>
            </w:r>
            <w:r>
              <w:rPr>
                <w:rFonts w:hint="eastAsia" w:cs="Times New Roman"/>
                <w:color w:val="000000"/>
                <w:lang w:val="en-US" w:eastAsia="zh-CN"/>
              </w:rPr>
              <w:t>、《</w:t>
            </w:r>
            <w:r>
              <w:rPr>
                <w:rFonts w:hint="eastAsia" w:ascii="Calibri" w:hAnsi="Calibri" w:eastAsia="宋体" w:cs="Times New Roman"/>
                <w:color w:val="000000"/>
                <w:lang w:val="en-US" w:eastAsia="zh-CN"/>
              </w:rPr>
              <w:t>湖南省医疗保障信息平台定点医药机构接口规范清单</w:t>
            </w:r>
            <w:r>
              <w:rPr>
                <w:rFonts w:hint="eastAsia" w:cs="Times New Roman"/>
                <w:color w:val="000000"/>
                <w:lang w:val="en-US" w:eastAsia="zh-CN"/>
              </w:rPr>
              <w:t>》、《两定接口清单》</w:t>
            </w:r>
            <w:r>
              <w:rPr>
                <w:rFonts w:hint="eastAsia" w:ascii="Calibri" w:hAnsi="Calibri" w:eastAsia="宋体" w:cs="Times New Roman"/>
                <w:color w:val="000000"/>
                <w:lang w:val="en-US" w:eastAsia="zh-CN"/>
              </w:rPr>
              <w:t>开发实施</w:t>
            </w:r>
            <w:r>
              <w:rPr>
                <w:rFonts w:hint="eastAsia" w:ascii="Calibri" w:hAnsi="Calibri" w:cs="Times New Roman"/>
                <w:color w:val="000000"/>
                <w:lang w:val="en-US" w:eastAsia="zh-CN"/>
              </w:rPr>
              <w:t>，详见附件。</w:t>
            </w:r>
          </w:p>
        </w:tc>
      </w:tr>
    </w:tbl>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《湖南省医疗保障信息平台定点医药接口规范V1.1.25的通知》、《湖南省医疗保障信息平台定点医药机构接口规范清单》、《两定接口清单》</w:t>
      </w:r>
      <w:r>
        <w:rPr>
          <w:rFonts w:hint="eastAsia" w:ascii="宋体" w:hAnsi="宋体" w:eastAsia="宋体" w:cs="宋体"/>
          <w:color w:val="000000"/>
          <w:sz w:val="28"/>
          <w:szCs w:val="28"/>
          <w:lang w:val="en-US" w:eastAsia="zh-CN"/>
        </w:rPr>
        <w:t>。超出此接口文档范围的程序修改，甲乙双方进行充分协商后另行签订补充协议。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《湖南省医疗保障信息平台定点医药接口规范V1.1.25的通知》、《湖南省医疗保障信息平台定点医药机构接口规范清单》、《两定接口清单》</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pPr>
        <w:pStyle w:val="4"/>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000000"/>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pPr>
        <w:pStyle w:val="5"/>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pPr>
        <w:pStyle w:val="5"/>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pPr>
        <w:pStyle w:val="2"/>
        <w:widowControl w:val="0"/>
        <w:spacing w:line="480" w:lineRule="exact"/>
        <w:ind w:firstLine="560" w:firstLineChars="200"/>
        <w:rPr>
          <w:rFonts w:hint="eastAsia" w:ascii="宋体" w:hAnsi="宋体" w:eastAsia="宋体" w:cs="宋体"/>
          <w:color w:val="000000"/>
          <w:kern w:val="2"/>
          <w:sz w:val="28"/>
          <w:szCs w:val="28"/>
          <w:highlight w:val="none"/>
          <w:lang w:val="en-US" w:eastAsia="zh-CN"/>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元 </w:t>
      </w:r>
      <w:r>
        <w:rPr>
          <w:rFonts w:hint="eastAsia" w:ascii="宋体" w:hAnsi="宋体" w:eastAsia="宋体" w:cs="宋体"/>
          <w:color w:val="000000"/>
          <w:kern w:val="0"/>
          <w:sz w:val="28"/>
          <w:szCs w:val="28"/>
          <w:lang w:val="en-US" w:eastAsia="zh-CN" w:bidi="ar-SA"/>
        </w:rPr>
        <w:t>（小写：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甲方通过银行转账分次支付服务费用至乙方指定收款账户：自本项目上线后并收到发票30日内，支付服务费用90%即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8.1 双方确定，在本合同有效期内，甲方指定</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 xml:space="preserve">（联系电话： </w:t>
      </w:r>
      <w:r>
        <w:rPr>
          <w:rFonts w:hint="eastAsia" w:ascii="宋体" w:hAnsi="宋体" w:eastAsia="宋体" w:cs="宋体"/>
          <w:color w:val="000000"/>
          <w:kern w:val="0"/>
          <w:sz w:val="28"/>
          <w:szCs w:val="28"/>
          <w:highlight w:val="none"/>
          <w:u w:val="single"/>
          <w:lang w:val="en-US" w:eastAsia="zh-CN" w:bidi="ar-SA"/>
        </w:rPr>
        <w:t xml:space="preserve">13973818325 </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13973818325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7591521@qq.com</w:t>
      </w:r>
      <w:r>
        <w:rPr>
          <w:rFonts w:hint="eastAsia" w:ascii="宋体" w:hAnsi="宋体" w:eastAsia="宋体" w:cs="宋体"/>
          <w:color w:val="000000"/>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pPr>
        <w:pStyle w:val="5"/>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本合同一式肆份，甲方执叁份，乙方执壹份，自双方签字并盖章之日起生效。</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pPr>
        <w:pStyle w:val="5"/>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合同签订地履行地：娄底市娄星区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签订日期：   年   月   日</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sz w:val="28"/>
          <w:szCs w:val="28"/>
          <w:lang w:val="en-US" w:eastAsia="zh-CN"/>
        </w:rPr>
        <w:t xml:space="preserve">                            </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pPr>
        <w:pStyle w:val="14"/>
        <w:widowControl w:val="0"/>
        <w:numPr>
          <w:ilvl w:val="0"/>
          <w:numId w:val="0"/>
        </w:numPr>
        <w:jc w:val="both"/>
        <w:rPr>
          <w:rFonts w:hint="eastAsia" w:ascii="仿宋_GB2312" w:eastAsia="仿宋_GB2312" w:cs="仿宋_GB2312"/>
          <w:bCs/>
          <w:color w:val="auto"/>
          <w:kern w:val="0"/>
          <w:sz w:val="28"/>
          <w:szCs w:val="28"/>
          <w:lang w:val="en-US" w:eastAsia="zh-CN" w:bidi="ar-SA"/>
        </w:rPr>
      </w:pPr>
    </w:p>
    <w:p>
      <w:pPr>
        <w:pStyle w:val="6"/>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5"/>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Pr>
        <w:rPr>
          <w:rFonts w:hint="default" w:eastAsia="宋体"/>
          <w:lang w:val="en-US" w:eastAsia="zh-CN"/>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E1DEA"/>
    <w:multiLevelType w:val="singleLevel"/>
    <w:tmpl w:val="146E1DEA"/>
    <w:lvl w:ilvl="0" w:tentative="0">
      <w:start w:val="3"/>
      <w:numFmt w:val="chineseCounting"/>
      <w:suff w:val="nothing"/>
      <w:lvlText w:val="%1、"/>
      <w:lvlJc w:val="left"/>
      <w:rPr>
        <w:rFonts w:hint="eastAsia"/>
      </w:rPr>
    </w:lvl>
  </w:abstractNum>
  <w:abstractNum w:abstractNumId="1">
    <w:nsid w:val="6D5023D4"/>
    <w:multiLevelType w:val="singleLevel"/>
    <w:tmpl w:val="6D5023D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7AC338D7"/>
    <w:rsid w:val="08FC27B6"/>
    <w:rsid w:val="0C776A4C"/>
    <w:rsid w:val="1A923556"/>
    <w:rsid w:val="7AC338D7"/>
    <w:rsid w:val="7F735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出段落1"/>
    <w:basedOn w:val="1"/>
    <w:autoRedefine/>
    <w:qFormat/>
    <w:uiPriority w:val="99"/>
    <w:pPr>
      <w:ind w:firstLine="420" w:firstLineChars="200"/>
    </w:p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6991</Words>
  <Characters>7539</Characters>
  <Lines>0</Lines>
  <Paragraphs>0</Paragraphs>
  <TotalTime>3</TotalTime>
  <ScaleCrop>false</ScaleCrop>
  <LinksUpToDate>false</LinksUpToDate>
  <CharactersWithSpaces>10450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2024-10-08T03:08:00Z</dcterms:created>
  <dc:creator>是小豹子</dc:creator>
  <cp:lastModifiedBy>是小豹子</cp:lastModifiedBy>
  <dcterms:modified xsi:type="dcterms:W3CDTF">2024-10-08T08:24:01Z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67EA0CF7953A46EDA8335DE4113C70AD_11</vt:lpwstr>
  </property>
</Properties>
</file>