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2"/>
        <w:snapToGrid w:val="0"/>
        <w:jc w:val="center"/>
        <w:rPr>
          <w:rFonts w:hint="eastAsia" w:ascii="Arial" w:hAnsi="Arial" w:eastAsia="方正小标宋简体" w:cs="Arial"/>
          <w:color w:val="auto"/>
          <w:sz w:val="72"/>
          <w:szCs w:val="72"/>
          <w:lang w:eastAsia="zh-CN"/>
        </w:rPr>
      </w:pPr>
      <w:bookmarkStart w:id="0" w:name="_Toc16523570"/>
    </w:p>
    <w:p w14:paraId="6796EEB0">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14:paraId="4F314216">
      <w:pPr>
        <w:pStyle w:val="12"/>
        <w:snapToGrid w:val="0"/>
        <w:jc w:val="center"/>
        <w:rPr>
          <w:rFonts w:ascii="Arial" w:hAnsi="Arial" w:eastAsia="方正小标宋简体" w:cs="Arial"/>
          <w:sz w:val="72"/>
          <w:szCs w:val="72"/>
        </w:rPr>
      </w:pPr>
    </w:p>
    <w:p w14:paraId="45429E83">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14:paraId="2D57D15F">
      <w:pPr>
        <w:pStyle w:val="12"/>
        <w:snapToGrid w:val="0"/>
        <w:jc w:val="center"/>
        <w:rPr>
          <w:rFonts w:ascii="Arial" w:hAnsi="Arial" w:eastAsia="方正小标宋简体" w:cs="Arial"/>
          <w:sz w:val="72"/>
          <w:szCs w:val="72"/>
        </w:rPr>
      </w:pPr>
    </w:p>
    <w:p w14:paraId="37D4A744">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14:paraId="6ECDF92A">
      <w:pPr>
        <w:pStyle w:val="12"/>
        <w:snapToGrid w:val="0"/>
        <w:jc w:val="center"/>
        <w:rPr>
          <w:rFonts w:ascii="Arial" w:hAnsi="Arial" w:eastAsia="方正小标宋简体" w:cs="Arial"/>
          <w:sz w:val="72"/>
          <w:szCs w:val="72"/>
        </w:rPr>
      </w:pPr>
    </w:p>
    <w:p w14:paraId="436BFC48">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14:paraId="20E0311D">
      <w:pPr>
        <w:pStyle w:val="12"/>
        <w:snapToGrid w:val="0"/>
        <w:jc w:val="center"/>
        <w:rPr>
          <w:rFonts w:ascii="Arial" w:hAnsi="Arial" w:eastAsia="方正小标宋简体" w:cs="Arial"/>
          <w:sz w:val="72"/>
          <w:szCs w:val="72"/>
        </w:rPr>
      </w:pPr>
    </w:p>
    <w:p w14:paraId="247FDB96">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14:paraId="25FEE0C6">
      <w:pPr>
        <w:pStyle w:val="12"/>
        <w:snapToGrid w:val="0"/>
        <w:jc w:val="center"/>
        <w:rPr>
          <w:rFonts w:ascii="Arial" w:hAnsi="Arial" w:cs="Arial"/>
          <w:sz w:val="32"/>
          <w:szCs w:val="32"/>
        </w:rPr>
      </w:pPr>
    </w:p>
    <w:p w14:paraId="1B92FFA5">
      <w:pPr>
        <w:pStyle w:val="12"/>
        <w:snapToGrid w:val="0"/>
        <w:jc w:val="center"/>
        <w:rPr>
          <w:rFonts w:ascii="Arial" w:hAnsi="Arial" w:cs="Arial"/>
          <w:sz w:val="32"/>
          <w:szCs w:val="32"/>
        </w:rPr>
      </w:pPr>
    </w:p>
    <w:p w14:paraId="3EB4A47A">
      <w:pPr>
        <w:pStyle w:val="12"/>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（除颤仪医院公开挂网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十</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除颤仪</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14:paraId="435321EC">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除颤仪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049FFAA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7C98D1F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782700B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40CF2CE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731CB7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093FC2C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3"/>
        <w:rPr>
          <w:rFonts w:hint="eastAsia"/>
          <w:lang w:val="en-US" w:eastAsia="zh-CN"/>
        </w:rPr>
      </w:pPr>
    </w:p>
    <w:p w14:paraId="687E9235">
      <w:pPr>
        <w:pStyle w:val="13"/>
        <w:jc w:val="both"/>
        <w:rPr>
          <w:rFonts w:hint="default"/>
          <w:lang w:val="en-US" w:eastAsia="zh-CN"/>
        </w:rPr>
      </w:pPr>
    </w:p>
    <w:p w14:paraId="7AECD5DA">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3"/>
        <w:rPr>
          <w:rFonts w:hint="eastAsia" w:ascii="宋体" w:hAnsi="宋体" w:cs="宋体"/>
          <w:b/>
          <w:bCs/>
          <w:color w:val="auto"/>
          <w:sz w:val="44"/>
          <w:szCs w:val="44"/>
          <w:lang w:val="en-US" w:eastAsia="zh-CN"/>
        </w:rPr>
      </w:pPr>
    </w:p>
    <w:p w14:paraId="69D61396">
      <w:pPr>
        <w:pStyle w:val="8"/>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1"/>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除颤仪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7AFFC132">
      <w:pPr>
        <w:numPr>
          <w:ilvl w:val="0"/>
          <w:numId w:val="2"/>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具备手动除颤、心电监护、自动体外除颤（AED）功能、NIBP监测功能。除颤具备自动阻抗补偿功能。</w:t>
      </w:r>
    </w:p>
    <w:p w14:paraId="2E797F53">
      <w:pPr>
        <w:numPr>
          <w:numId w:val="0"/>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2.采用双向指数截段波技术，同步除颤和手动除颤中，能量分25档以上，可通过体外电极板进行能量选择最小为1J，最大为360J。</w:t>
      </w:r>
    </w:p>
    <w:p w14:paraId="146FD0B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3.支持AED除颤功能，电击能量：100～360J。</w:t>
      </w:r>
    </w:p>
    <w:p w14:paraId="6B53C44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4.除颤充电迅速，充电至200J&lt;3s，充电至360J&lt;7s。</w:t>
      </w:r>
    </w:p>
    <w:p w14:paraId="71D7BB4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5.具有旋钮式能量选择，可快速选择1-12档位能量，可调节4种模式。</w:t>
      </w:r>
    </w:p>
    <w:p w14:paraId="71A03E7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6.体外除颤电极板手柄支持充电、放电、能量选择，具备充电完成指示灯。成人、小儿一体化电极板。</w:t>
      </w:r>
    </w:p>
    <w:p w14:paraId="6A0F1D0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7.病人阻抗范围：体外除颤：20~250Ω；体内除颤：15-250Ω。</w:t>
      </w:r>
    </w:p>
    <w:p w14:paraId="424F7FC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8.监护功能：标配NIBP监测、心电监测功能；具有≥26种心律失常分析。除标配外另配一套心电导联线。</w:t>
      </w:r>
    </w:p>
    <w:p w14:paraId="0ACDC9D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9.标配1块电池可支持最大360J除颤210次以上，电池体上带有大于</w:t>
      </w:r>
      <w:bookmarkStart w:id="4" w:name="_GoBack"/>
      <w:bookmarkEnd w:id="4"/>
      <w:r>
        <w:rPr>
          <w:rFonts w:hint="eastAsia" w:asciiTheme="minorEastAsia" w:hAnsiTheme="minorEastAsia" w:eastAsiaTheme="minorEastAsia" w:cstheme="minorEastAsia"/>
          <w:b w:val="0"/>
          <w:bCs/>
          <w:color w:val="FF0000"/>
          <w:kern w:val="0"/>
          <w:sz w:val="24"/>
          <w:szCs w:val="24"/>
          <w:lang w:val="en-US" w:eastAsia="zh-CN" w:bidi="ar-SA"/>
        </w:rPr>
        <w:t>五段LED</w:t>
      </w:r>
      <w:r>
        <w:rPr>
          <w:rFonts w:hint="eastAsia" w:asciiTheme="minorEastAsia" w:hAnsiTheme="minorEastAsia" w:eastAsiaTheme="minorEastAsia" w:cstheme="minorEastAsia"/>
          <w:b w:val="0"/>
          <w:bCs/>
          <w:color w:val="auto"/>
          <w:kern w:val="0"/>
          <w:sz w:val="24"/>
          <w:szCs w:val="24"/>
          <w:lang w:val="en-US" w:eastAsia="zh-CN" w:bidi="ar-SA"/>
        </w:rPr>
        <w:t xml:space="preserve"> 电池电量指示装置，用于快速评估电池电量。</w:t>
      </w:r>
    </w:p>
    <w:p w14:paraId="4AD9637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10.具备生理报警和技术报警功能，并且具有双报警灯，分别显示生理报警和技术报警。</w:t>
      </w:r>
    </w:p>
    <w:p w14:paraId="0493C3B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11.彩色TFT显示屏≥7英寸, 分辨率≥800×480，最多可显示4道监护参数波形，有高对比度显示界面。</w:t>
      </w:r>
    </w:p>
    <w:p w14:paraId="75403A5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12.体外除颤监护仪配置</w:t>
      </w:r>
      <w:r>
        <w:rPr>
          <w:rFonts w:hint="eastAsia" w:asciiTheme="minorEastAsia" w:hAnsiTheme="minorEastAsia" w:eastAsiaTheme="minorEastAsia" w:cstheme="minorEastAsia"/>
          <w:b w:val="0"/>
          <w:bCs/>
          <w:color w:val="FF0000"/>
          <w:kern w:val="0"/>
          <w:sz w:val="24"/>
          <w:szCs w:val="24"/>
          <w:lang w:val="en-US" w:eastAsia="zh-CN" w:bidi="ar-SA"/>
        </w:rPr>
        <w:t>50mm</w:t>
      </w:r>
      <w:r>
        <w:rPr>
          <w:rFonts w:hint="eastAsia" w:asciiTheme="minorEastAsia" w:hAnsiTheme="minorEastAsia" w:eastAsiaTheme="minorEastAsia" w:cstheme="minorEastAsia"/>
          <w:b w:val="0"/>
          <w:bCs/>
          <w:color w:val="auto"/>
          <w:kern w:val="0"/>
          <w:sz w:val="24"/>
          <w:szCs w:val="24"/>
          <w:lang w:val="en-US" w:eastAsia="zh-CN" w:bidi="ar-SA"/>
        </w:rPr>
        <w:t>记录仪，实时记录时间有3秒、5秒、8秒、16秒、32秒、连续可供选择。</w:t>
      </w:r>
    </w:p>
    <w:p w14:paraId="7CE75C5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13.主机具备录音功能，最大支持≥240min录音存储。</w:t>
      </w:r>
    </w:p>
    <w:p w14:paraId="15B0561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14.关机状态下设备可自动运行自检，支持大能量自检（不低于200J）、屏幕、按键检测。</w:t>
      </w:r>
    </w:p>
    <w:p w14:paraId="30F68B1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15.机器需配带抽屉推车。</w:t>
      </w:r>
    </w:p>
    <w:p w14:paraId="2E78404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16.符合欧盟救护车标准EN1789:2007，防护等级IP44。</w:t>
      </w:r>
    </w:p>
    <w:p w14:paraId="25BB155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9"/>
        <w:tblpPr w:leftFromText="180" w:rightFromText="180" w:vertAnchor="text" w:horzAnchor="page" w:tblpX="1910" w:tblpY="558"/>
        <w:tblOverlap w:val="never"/>
        <w:tblW w:w="8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4787"/>
        <w:gridCol w:w="1498"/>
        <w:gridCol w:w="1297"/>
      </w:tblGrid>
      <w:tr w14:paraId="2DDA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nil"/>
              <w:left w:val="single" w:color="000000" w:sz="8" w:space="0"/>
              <w:bottom w:val="single" w:color="000000" w:sz="4" w:space="0"/>
              <w:right w:val="nil"/>
            </w:tcBorders>
            <w:shd w:val="clear" w:color="auto" w:fill="C0C0C0"/>
            <w:noWrap/>
            <w:vAlign w:val="center"/>
          </w:tcPr>
          <w:p w14:paraId="155AD5F8">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29039A3">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3B9F9C5">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nil"/>
              <w:left w:val="single" w:color="000000" w:sz="4" w:space="0"/>
              <w:bottom w:val="single" w:color="000000" w:sz="4" w:space="0"/>
              <w:right w:val="single" w:color="000000" w:sz="8" w:space="0"/>
            </w:tcBorders>
            <w:shd w:val="clear" w:color="auto" w:fill="C0C0C0"/>
            <w:noWrap/>
            <w:vAlign w:val="center"/>
          </w:tcPr>
          <w:p w14:paraId="624E6F94">
            <w:pPr>
              <w:keepNext w:val="0"/>
              <w:keepLines w:val="0"/>
              <w:widowControl/>
              <w:suppressLineNumbers w:val="0"/>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 注</w:t>
            </w:r>
          </w:p>
        </w:tc>
      </w:tr>
      <w:tr w14:paraId="71B42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7E6CA1D7">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9430">
            <w:pPr>
              <w:keepNext w:val="0"/>
              <w:keepLines w:val="0"/>
              <w:widowControl/>
              <w:suppressLineNumbers w:val="0"/>
              <w:jc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主机</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00A7">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8" w:space="0"/>
            </w:tcBorders>
            <w:shd w:val="clear" w:color="auto" w:fill="auto"/>
            <w:vAlign w:val="top"/>
          </w:tcPr>
          <w:p w14:paraId="1C19A9DC">
            <w:pPr>
              <w:jc w:val="center"/>
              <w:rPr>
                <w:rFonts w:hint="eastAsia" w:ascii="宋体" w:hAnsi="宋体" w:eastAsia="宋体" w:cs="宋体"/>
                <w:i w:val="0"/>
                <w:iCs w:val="0"/>
                <w:color w:val="000000"/>
                <w:sz w:val="18"/>
                <w:szCs w:val="18"/>
                <w:u w:val="none"/>
              </w:rPr>
            </w:pPr>
          </w:p>
        </w:tc>
      </w:tr>
      <w:tr w14:paraId="66BAF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4C651E4">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A040">
            <w:pPr>
              <w:keepNext w:val="0"/>
              <w:keepLines w:val="0"/>
              <w:widowControl/>
              <w:suppressLineNumbers w:val="0"/>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操作指南</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D0A1">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8" w:space="0"/>
            </w:tcBorders>
            <w:shd w:val="clear" w:color="auto" w:fill="auto"/>
            <w:vAlign w:val="top"/>
          </w:tcPr>
          <w:p w14:paraId="43CBD3EC">
            <w:pPr>
              <w:jc w:val="center"/>
              <w:rPr>
                <w:rFonts w:hint="eastAsia" w:ascii="宋体" w:hAnsi="宋体" w:eastAsia="宋体" w:cs="宋体"/>
                <w:i w:val="0"/>
                <w:iCs w:val="0"/>
                <w:color w:val="000000"/>
                <w:sz w:val="18"/>
                <w:szCs w:val="18"/>
                <w:u w:val="none"/>
              </w:rPr>
            </w:pPr>
          </w:p>
        </w:tc>
      </w:tr>
      <w:tr w14:paraId="209D5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543D91C">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6766">
            <w:pPr>
              <w:keepNext w:val="0"/>
              <w:keepLines w:val="0"/>
              <w:widowControl/>
              <w:suppressLineNumbers w:val="0"/>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说明书</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0E00">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8" w:space="0"/>
            </w:tcBorders>
            <w:shd w:val="clear" w:color="auto" w:fill="auto"/>
            <w:vAlign w:val="top"/>
          </w:tcPr>
          <w:p w14:paraId="49F2248D">
            <w:pPr>
              <w:jc w:val="center"/>
              <w:rPr>
                <w:rFonts w:hint="eastAsia" w:ascii="宋体" w:hAnsi="宋体" w:eastAsia="宋体" w:cs="宋体"/>
                <w:i w:val="0"/>
                <w:iCs w:val="0"/>
                <w:color w:val="000000"/>
                <w:sz w:val="18"/>
                <w:szCs w:val="18"/>
                <w:u w:val="none"/>
              </w:rPr>
            </w:pPr>
          </w:p>
        </w:tc>
      </w:tr>
      <w:tr w14:paraId="4381B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0BECE99">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B0A2">
            <w:pPr>
              <w:keepNext w:val="0"/>
              <w:keepLines w:val="0"/>
              <w:widowControl/>
              <w:suppressLineNumbers w:val="0"/>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电源线</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384F">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8" w:space="0"/>
            </w:tcBorders>
            <w:shd w:val="clear" w:color="auto" w:fill="auto"/>
            <w:vAlign w:val="top"/>
          </w:tcPr>
          <w:p w14:paraId="11276B58">
            <w:pPr>
              <w:jc w:val="center"/>
              <w:rPr>
                <w:rFonts w:hint="eastAsia" w:ascii="宋体" w:hAnsi="宋体" w:eastAsia="宋体" w:cs="宋体"/>
                <w:i w:val="0"/>
                <w:iCs w:val="0"/>
                <w:color w:val="000000"/>
                <w:sz w:val="18"/>
                <w:szCs w:val="18"/>
                <w:u w:val="none"/>
              </w:rPr>
            </w:pPr>
          </w:p>
        </w:tc>
      </w:tr>
      <w:tr w14:paraId="34BB2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3002A3F5">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86FF">
            <w:pPr>
              <w:keepNext w:val="0"/>
              <w:keepLines w:val="0"/>
              <w:widowControl/>
              <w:suppressLineNumbers w:val="0"/>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心电电缆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D41D">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8" w:space="0"/>
            </w:tcBorders>
            <w:shd w:val="clear" w:color="auto" w:fill="auto"/>
            <w:vAlign w:val="top"/>
          </w:tcPr>
          <w:p w14:paraId="72AD77A3">
            <w:pPr>
              <w:jc w:val="center"/>
              <w:rPr>
                <w:rFonts w:hint="eastAsia" w:ascii="宋体" w:hAnsi="宋体" w:eastAsia="宋体" w:cs="宋体"/>
                <w:i w:val="0"/>
                <w:iCs w:val="0"/>
                <w:color w:val="000000"/>
                <w:sz w:val="18"/>
                <w:szCs w:val="18"/>
                <w:u w:val="none"/>
              </w:rPr>
            </w:pPr>
          </w:p>
        </w:tc>
      </w:tr>
      <w:tr w14:paraId="0440F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29FA8D">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8659">
            <w:pPr>
              <w:keepNext w:val="0"/>
              <w:keepLines w:val="0"/>
              <w:widowControl/>
              <w:suppressLineNumbers w:val="0"/>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电极片</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B051">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8" w:space="0"/>
            </w:tcBorders>
            <w:shd w:val="clear" w:color="auto" w:fill="auto"/>
            <w:vAlign w:val="top"/>
          </w:tcPr>
          <w:p w14:paraId="73015F7F">
            <w:pPr>
              <w:jc w:val="center"/>
              <w:rPr>
                <w:rFonts w:hint="eastAsia" w:ascii="宋体" w:hAnsi="宋体" w:eastAsia="宋体" w:cs="宋体"/>
                <w:i w:val="0"/>
                <w:iCs w:val="0"/>
                <w:color w:val="000000"/>
                <w:sz w:val="18"/>
                <w:szCs w:val="18"/>
                <w:u w:val="none"/>
              </w:rPr>
            </w:pPr>
          </w:p>
        </w:tc>
      </w:tr>
      <w:tr w14:paraId="6F78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8B825A0">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FA80">
            <w:pPr>
              <w:keepNext w:val="0"/>
              <w:keepLines w:val="0"/>
              <w:widowControl/>
              <w:suppressLineNumbers w:val="0"/>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打印纸</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6FC0">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8" w:space="0"/>
            </w:tcBorders>
            <w:shd w:val="clear" w:color="auto" w:fill="auto"/>
            <w:vAlign w:val="top"/>
          </w:tcPr>
          <w:p w14:paraId="583BCC4A">
            <w:pPr>
              <w:jc w:val="center"/>
              <w:rPr>
                <w:rFonts w:hint="eastAsia" w:ascii="宋体" w:hAnsi="宋体" w:eastAsia="宋体" w:cs="宋体"/>
                <w:i w:val="0"/>
                <w:iCs w:val="0"/>
                <w:color w:val="000000"/>
                <w:sz w:val="18"/>
                <w:szCs w:val="18"/>
                <w:u w:val="none"/>
              </w:rPr>
            </w:pPr>
          </w:p>
        </w:tc>
      </w:tr>
      <w:tr w14:paraId="0955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B096DD8">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0029">
            <w:pPr>
              <w:keepNext w:val="0"/>
              <w:keepLines w:val="0"/>
              <w:widowControl/>
              <w:suppressLineNumbers w:val="0"/>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电极片电缆</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8B3F">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8" w:space="0"/>
            </w:tcBorders>
            <w:shd w:val="clear" w:color="auto" w:fill="auto"/>
            <w:vAlign w:val="top"/>
          </w:tcPr>
          <w:p w14:paraId="3812CC0F">
            <w:pPr>
              <w:jc w:val="center"/>
              <w:rPr>
                <w:rFonts w:hint="eastAsia" w:ascii="宋体" w:hAnsi="宋体" w:eastAsia="宋体" w:cs="宋体"/>
                <w:i w:val="0"/>
                <w:iCs w:val="0"/>
                <w:color w:val="000000"/>
                <w:sz w:val="18"/>
                <w:szCs w:val="18"/>
                <w:u w:val="none"/>
              </w:rPr>
            </w:pPr>
          </w:p>
        </w:tc>
      </w:tr>
      <w:tr w14:paraId="0116A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2D10211A">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C971">
            <w:pPr>
              <w:keepNext w:val="0"/>
              <w:keepLines w:val="0"/>
              <w:widowControl/>
              <w:suppressLineNumbers w:val="0"/>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电极片延长线测试负载</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D965">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8" w:space="0"/>
            </w:tcBorders>
            <w:shd w:val="clear" w:color="auto" w:fill="auto"/>
            <w:vAlign w:val="top"/>
          </w:tcPr>
          <w:p w14:paraId="51E27E41">
            <w:pPr>
              <w:jc w:val="center"/>
              <w:rPr>
                <w:rFonts w:hint="eastAsia" w:ascii="宋体" w:hAnsi="宋体" w:eastAsia="宋体" w:cs="宋体"/>
                <w:i w:val="0"/>
                <w:iCs w:val="0"/>
                <w:color w:val="000000"/>
                <w:sz w:val="18"/>
                <w:szCs w:val="18"/>
                <w:u w:val="none"/>
              </w:rPr>
            </w:pPr>
          </w:p>
        </w:tc>
      </w:tr>
      <w:tr w14:paraId="4D60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050A812E">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84261CF">
            <w:pPr>
              <w:keepNext w:val="0"/>
              <w:keepLines w:val="0"/>
              <w:widowControl/>
              <w:suppressLineNumbers w:val="0"/>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血压袖套</w:t>
            </w:r>
          </w:p>
        </w:tc>
        <w:tc>
          <w:tcPr>
            <w:tcW w:w="1498" w:type="dxa"/>
            <w:tcBorders>
              <w:top w:val="single" w:color="000000" w:sz="4" w:space="0"/>
              <w:left w:val="single" w:color="000000" w:sz="4" w:space="0"/>
              <w:bottom w:val="nil"/>
              <w:right w:val="single" w:color="000000" w:sz="4" w:space="0"/>
            </w:tcBorders>
            <w:shd w:val="clear" w:color="auto" w:fill="auto"/>
            <w:vAlign w:val="center"/>
          </w:tcPr>
          <w:p w14:paraId="59B92767">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nil"/>
              <w:right w:val="single" w:color="000000" w:sz="8" w:space="0"/>
            </w:tcBorders>
            <w:shd w:val="clear" w:color="auto" w:fill="auto"/>
            <w:vAlign w:val="top"/>
          </w:tcPr>
          <w:p w14:paraId="3744E446">
            <w:pPr>
              <w:jc w:val="center"/>
              <w:rPr>
                <w:rFonts w:hint="eastAsia" w:ascii="宋体" w:hAnsi="宋体" w:eastAsia="宋体" w:cs="宋体"/>
                <w:i w:val="0"/>
                <w:iCs w:val="0"/>
                <w:color w:val="000000"/>
                <w:sz w:val="18"/>
                <w:szCs w:val="18"/>
                <w:u w:val="none"/>
              </w:rPr>
            </w:pPr>
          </w:p>
        </w:tc>
      </w:tr>
      <w:tr w14:paraId="1BD9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021369">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D7A1313">
            <w:pPr>
              <w:keepNext w:val="0"/>
              <w:keepLines w:val="0"/>
              <w:widowControl/>
              <w:suppressLineNumbers w:val="0"/>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血压导管</w:t>
            </w:r>
          </w:p>
        </w:tc>
        <w:tc>
          <w:tcPr>
            <w:tcW w:w="1498" w:type="dxa"/>
            <w:tcBorders>
              <w:top w:val="single" w:color="000000" w:sz="4" w:space="0"/>
              <w:left w:val="single" w:color="000000" w:sz="4" w:space="0"/>
              <w:bottom w:val="nil"/>
              <w:right w:val="single" w:color="000000" w:sz="4" w:space="0"/>
            </w:tcBorders>
            <w:shd w:val="clear" w:color="auto" w:fill="auto"/>
            <w:vAlign w:val="center"/>
          </w:tcPr>
          <w:p w14:paraId="4782915A">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nil"/>
              <w:right w:val="single" w:color="000000" w:sz="8" w:space="0"/>
            </w:tcBorders>
            <w:shd w:val="clear" w:color="auto" w:fill="auto"/>
            <w:vAlign w:val="top"/>
          </w:tcPr>
          <w:p w14:paraId="2ABA1AB1">
            <w:pPr>
              <w:jc w:val="center"/>
              <w:rPr>
                <w:rFonts w:hint="eastAsia" w:ascii="宋体" w:hAnsi="宋体" w:eastAsia="宋体" w:cs="宋体"/>
                <w:i w:val="0"/>
                <w:iCs w:val="0"/>
                <w:color w:val="000000"/>
                <w:sz w:val="18"/>
                <w:szCs w:val="18"/>
                <w:u w:val="none"/>
              </w:rPr>
            </w:pPr>
          </w:p>
        </w:tc>
      </w:tr>
      <w:tr w14:paraId="0B3F9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8" w:space="0"/>
              <w:bottom w:val="nil"/>
              <w:right w:val="single" w:color="000000" w:sz="4" w:space="0"/>
            </w:tcBorders>
            <w:shd w:val="clear" w:color="auto" w:fill="auto"/>
            <w:noWrap/>
            <w:vAlign w:val="center"/>
          </w:tcPr>
          <w:p w14:paraId="726C11AC">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F787F6C">
            <w:pPr>
              <w:keepNext w:val="0"/>
              <w:keepLines w:val="0"/>
              <w:widowControl/>
              <w:suppressLineNumbers w:val="0"/>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导电膏</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EDF0743">
            <w:pPr>
              <w:keepNext w:val="0"/>
              <w:keepLines w:val="0"/>
              <w:widowControl/>
              <w:suppressLineNumbers w:val="0"/>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45690FA">
            <w:pPr>
              <w:jc w:val="center"/>
              <w:rPr>
                <w:rFonts w:hint="eastAsia" w:ascii="宋体" w:hAnsi="宋体" w:eastAsia="宋体" w:cs="宋体"/>
                <w:i w:val="0"/>
                <w:iCs w:val="0"/>
                <w:color w:val="000000"/>
                <w:sz w:val="28"/>
                <w:szCs w:val="28"/>
                <w:u w:val="none"/>
              </w:rPr>
            </w:pPr>
          </w:p>
        </w:tc>
      </w:tr>
      <w:tr w14:paraId="1C293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7C36">
            <w:pPr>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BE85">
            <w:pPr>
              <w:keepNext w:val="0"/>
              <w:keepLines w:val="0"/>
              <w:widowControl/>
              <w:suppressLineNumbers w:val="0"/>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带抽屉推车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241B">
            <w:pPr>
              <w:keepNext w:val="0"/>
              <w:keepLines w:val="0"/>
              <w:widowControl/>
              <w:suppressLineNumbers w:val="0"/>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F83E">
            <w:pPr>
              <w:jc w:val="center"/>
              <w:rPr>
                <w:rFonts w:hint="eastAsia" w:ascii="宋体" w:hAnsi="宋体" w:eastAsia="宋体" w:cs="宋体"/>
                <w:i w:val="0"/>
                <w:iCs w:val="0"/>
                <w:color w:val="000000"/>
                <w:sz w:val="28"/>
                <w:szCs w:val="28"/>
                <w:u w:val="none"/>
              </w:rPr>
            </w:pPr>
          </w:p>
        </w:tc>
      </w:tr>
    </w:tbl>
    <w:p w14:paraId="0648D68D">
      <w:pPr>
        <w:jc w:val="cente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7358FD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14:paraId="06F1A3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9D8B5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7F0CB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29ADD8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3年，半年内出现机器故障更换新机，终身维修。验收时出具原厂售后质保承诺书，一年至少两次上门设备维护保养记录。提供湖南省内所有售后维保人员电话清单，机器出现故障，1小时内响应（电话或视频指导处理故障，并且经销商至现场），若视频或电话未解决，在响应后24小时内免费上门服务，如上门服务未能处理或超24小时未上门需提供备用机，直到维修完成恢复使用。</w:t>
      </w:r>
    </w:p>
    <w:p w14:paraId="3F194F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79DE4D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151717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4472E3C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4E2B89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303D71B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73FDF01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D1FA90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46CDB6C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43DFFF5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00C2F62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0F960C3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1CA950B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4344B8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5C0ECB4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75401A5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6AB2D65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F2DD3D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除颤仪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除颤仪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1736C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3850F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0DDD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60E8317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50A0003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730464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34F4E02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71CAEF5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3E6EE9B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2CE1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70490FEA">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除颤仪</w:t>
            </w:r>
          </w:p>
        </w:tc>
        <w:tc>
          <w:tcPr>
            <w:tcW w:w="1220" w:type="dxa"/>
            <w:noWrap w:val="0"/>
            <w:vAlign w:val="center"/>
          </w:tcPr>
          <w:p w14:paraId="4E03127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4680FBE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6FED8D4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70A4510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2B02663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61265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59F2CB5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73A704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1FDF4D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4279EC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20BEC3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3183F64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B010D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2A42D3E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480E5D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77FC7B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655B7C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97F30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60F94D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3B7DCD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59DB86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17DAA8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26965C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59346E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0E450F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D93D3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350D16A9">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eastAsia="宋体" w:cs="宋体"/>
          <w:color w:val="auto"/>
          <w:sz w:val="24"/>
          <w:szCs w:val="24"/>
        </w:rPr>
        <w:t>半年内出现机器故障更换新机，</w:t>
      </w:r>
      <w:r>
        <w:rPr>
          <w:rFonts w:hint="eastAsia" w:ascii="宋体" w:hAnsi="宋体" w:eastAsia="宋体" w:cs="宋体"/>
          <w:color w:val="000000" w:themeColor="text1"/>
          <w:sz w:val="24"/>
          <w:szCs w:val="24"/>
          <w:highlight w:val="none"/>
          <w:lang w:val="en-US" w:eastAsia="zh-CN"/>
          <w14:textFill>
            <w14:solidFill>
              <w14:schemeClr w14:val="tx1"/>
            </w14:solidFill>
          </w14:textFill>
        </w:rPr>
        <w:t>自甲方在总体验收报告单上签字确认合格之日起开始计算。</w:t>
      </w:r>
    </w:p>
    <w:p w14:paraId="0DB2C105">
      <w:pPr>
        <w:keepNext w:val="0"/>
        <w:keepLines w:val="0"/>
        <w:pageBreakBefore w:val="0"/>
        <w:widowControl/>
        <w:numPr>
          <w:ilvl w:val="0"/>
          <w:numId w:val="0"/>
        </w:numPr>
        <w:kinsoku/>
        <w:wordWrap/>
        <w:overflowPunct/>
        <w:topLinePunct w:val="0"/>
        <w:autoSpaceDE/>
        <w:autoSpaceDN/>
        <w:bidi w:val="0"/>
        <w:adjustRightInd w:val="0"/>
        <w:snapToGrid w:val="0"/>
        <w:spacing w:after="0" w:line="400" w:lineRule="exact"/>
        <w:ind w:leftChars="0"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zh-CN" w:eastAsia="zh-CN"/>
        </w:rPr>
        <w:t>湖南</w:t>
      </w:r>
      <w:r>
        <w:rPr>
          <w:rFonts w:hint="eastAsia" w:ascii="宋体" w:hAnsi="宋体" w:eastAsia="宋体" w:cs="宋体"/>
          <w:color w:val="auto"/>
          <w:sz w:val="24"/>
          <w:szCs w:val="24"/>
          <w:lang w:val="en-US" w:eastAsia="zh-CN"/>
        </w:rPr>
        <w:t>省内</w:t>
      </w:r>
      <w:r>
        <w:rPr>
          <w:rFonts w:hint="eastAsia" w:ascii="宋体" w:hAnsi="宋体" w:eastAsia="宋体" w:cs="宋体"/>
          <w:color w:val="auto"/>
          <w:sz w:val="24"/>
          <w:szCs w:val="24"/>
          <w:lang w:val="zh-CN" w:eastAsia="zh-CN"/>
        </w:rPr>
        <w:t>所有售后维保人员电话清单</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auto"/>
          <w:sz w:val="24"/>
          <w:szCs w:val="24"/>
          <w:lang w:val="en-US" w:eastAsia="zh-CN"/>
        </w:rPr>
        <w:t>1小时内响应（电话或视频指导处理故障，并且经销商至现场），若视频或电话未解决，在响应后24小时内免费上门服务，如上门服务未能处理或超24小时未上门需提供备用机，直到维修完成恢复使用</w:t>
      </w:r>
      <w:r>
        <w:rPr>
          <w:rFonts w:hint="eastAsia" w:ascii="宋体" w:hAnsi="宋体" w:eastAsia="宋体" w:cs="宋体"/>
          <w:color w:val="000000" w:themeColor="text1"/>
          <w:sz w:val="24"/>
          <w:szCs w:val="24"/>
          <w:highlight w:val="none"/>
          <w:lang w:val="en-US" w:eastAsia="zh-CN"/>
          <w14:textFill>
            <w14:solidFill>
              <w14:schemeClr w14:val="tx1"/>
            </w14:solidFill>
          </w14:textFill>
        </w:rPr>
        <w:t>。如乙方不及时提供服务，甲方有权委托第三方提供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2E81DF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质保期内，乙方每年至少对设备进行两次巡检并向甲方提交巡检记录。</w:t>
      </w:r>
    </w:p>
    <w:p w14:paraId="20AB1A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0385CB3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79207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47D928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0F8924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28B888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210A7D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38D901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195A74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685E207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09DE7D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2C28E3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04D602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5C99A23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6EE31CA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AB911E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78C02F7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6B54A08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17978EB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2BDC979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56936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4984BF6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A38D1A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7E1DEB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319930D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5C685FF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4CC2065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DAC0BC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7313AA0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C9862F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6974721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5CE8EEE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65FA7F3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02689BB8">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359B774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C067D8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392708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6AA6D5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764768D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0873105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122EE83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7F97797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43B585F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516C28E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0283259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9999A1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76C5473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5B2650A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6FFC6A27">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5"/>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4"/>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524BC201">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4"/>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color w:val="auto"/>
              </w:rPr>
              <w:t>招标文件要求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5"/>
        <w:rPr>
          <w:color w:val="auto"/>
        </w:rPr>
      </w:pPr>
    </w:p>
    <w:p w14:paraId="43E00E01">
      <w:pPr>
        <w:pStyle w:val="14"/>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345B225A"/>
    <w:multiLevelType w:val="singleLevel"/>
    <w:tmpl w:val="345B225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E91EC4"/>
    <w:rsid w:val="086F75C9"/>
    <w:rsid w:val="0A3F4F3C"/>
    <w:rsid w:val="0E331420"/>
    <w:rsid w:val="0EDD1643"/>
    <w:rsid w:val="0FB9029C"/>
    <w:rsid w:val="10914EF9"/>
    <w:rsid w:val="10B8663C"/>
    <w:rsid w:val="12080B62"/>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72B6E6C"/>
    <w:rsid w:val="27CF2BB7"/>
    <w:rsid w:val="28E81B29"/>
    <w:rsid w:val="29B45A41"/>
    <w:rsid w:val="2A174DA9"/>
    <w:rsid w:val="2AB010A8"/>
    <w:rsid w:val="2C0A2E19"/>
    <w:rsid w:val="2C7642D0"/>
    <w:rsid w:val="2DD77C64"/>
    <w:rsid w:val="2DDA1E78"/>
    <w:rsid w:val="2DE00B8C"/>
    <w:rsid w:val="2EAC037F"/>
    <w:rsid w:val="2EB67A5C"/>
    <w:rsid w:val="302741D2"/>
    <w:rsid w:val="308B184D"/>
    <w:rsid w:val="309C1E01"/>
    <w:rsid w:val="33384C93"/>
    <w:rsid w:val="340F06E9"/>
    <w:rsid w:val="372F7378"/>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2183ACC"/>
    <w:rsid w:val="581A7C72"/>
    <w:rsid w:val="583A4BD7"/>
    <w:rsid w:val="59C74B1F"/>
    <w:rsid w:val="611B6B1B"/>
    <w:rsid w:val="62C222C2"/>
    <w:rsid w:val="632D7C40"/>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8160</Words>
  <Characters>8594</Characters>
  <Lines>0</Lines>
  <Paragraphs>0</Paragraphs>
  <TotalTime>2</TotalTime>
  <ScaleCrop>false</ScaleCrop>
  <LinksUpToDate>false</LinksUpToDate>
  <CharactersWithSpaces>9515</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2024-10-09T06:35:18Z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3505A2AB25E048A4A9B0E6A6741CA1BA_11</vt:lpwstr>
  </property>
</Properties>
</file>