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jc w:val="center"/>
        <w:rPr>
          <w:rFonts w:ascii="Arial" w:hAnsi="Arial" w:eastAsia="方正小标宋简体" w:cs="Arial"/>
          <w:color w:val="auto"/>
          <w:sz w:val="72"/>
          <w:szCs w:val="72"/>
        </w:rPr>
      </w:pPr>
      <w:bookmarkStart w:id="0" w:name="_Toc16523570"/>
    </w:p>
    <w:p>
      <w:pPr>
        <w:pStyle w:val="13"/>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3"/>
        <w:snapToGrid w:val="0"/>
        <w:jc w:val="center"/>
        <w:rPr>
          <w:rFonts w:ascii="Arial" w:hAnsi="Arial" w:eastAsia="方正小标宋简体" w:cs="Arial"/>
          <w:sz w:val="72"/>
          <w:szCs w:val="72"/>
        </w:rPr>
      </w:pPr>
    </w:p>
    <w:p>
      <w:pPr>
        <w:pStyle w:val="13"/>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3"/>
        <w:snapToGrid w:val="0"/>
        <w:jc w:val="center"/>
        <w:rPr>
          <w:rFonts w:ascii="Arial" w:hAnsi="Arial" w:cs="Arial"/>
          <w:sz w:val="32"/>
          <w:szCs w:val="32"/>
        </w:rPr>
      </w:pPr>
    </w:p>
    <w:p>
      <w:pPr>
        <w:pStyle w:val="13"/>
        <w:snapToGrid w:val="0"/>
        <w:jc w:val="center"/>
        <w:rPr>
          <w:rFonts w:ascii="Arial" w:hAnsi="Arial" w:cs="Arial"/>
          <w:sz w:val="32"/>
          <w:szCs w:val="32"/>
        </w:rPr>
      </w:pPr>
    </w:p>
    <w:p>
      <w:pPr>
        <w:pStyle w:val="13"/>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（插件式麻醉监护仪医院公开挂网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3"/>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插件式麻醉监护仪</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3"/>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3"/>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插件式麻醉监护仪</w:t>
      </w:r>
      <w:r>
        <w:rPr>
          <w:rFonts w:hint="eastAsia" w:asciiTheme="minorEastAsia" w:hAnsiTheme="minorEastAsia" w:eastAsiaTheme="minorEastAsia" w:cstheme="minorEastAsia"/>
          <w:b w:val="0"/>
          <w:bCs/>
          <w:color w:val="auto"/>
          <w:sz w:val="24"/>
          <w:szCs w:val="24"/>
          <w:lang w:val="en-US" w:eastAsia="zh-CN"/>
        </w:rPr>
        <w:t>项目</w:t>
      </w:r>
    </w:p>
    <w:p>
      <w:pPr>
        <w:pStyle w:val="13"/>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3"/>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4"/>
        <w:rPr>
          <w:rFonts w:hint="eastAsia"/>
          <w:lang w:val="en-US" w:eastAsia="zh-CN"/>
        </w:rPr>
      </w:pPr>
    </w:p>
    <w:p>
      <w:pPr>
        <w:pStyle w:val="14"/>
        <w:jc w:val="both"/>
        <w:rPr>
          <w:rFonts w:hint="default"/>
          <w:lang w:val="en-US" w:eastAsia="zh-CN"/>
        </w:r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4"/>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2"/>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3"/>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插件式麻醉监护仪</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29.8</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autoSpaceDE w:val="0"/>
        <w:autoSpaceDN w:val="0"/>
        <w:adjustRightInd w:val="0"/>
        <w:spacing w:line="360" w:lineRule="auto"/>
        <w:ind w:firstLine="482" w:firstLineChars="200"/>
        <w:rPr>
          <w:rFonts w:hint="default" w:cs="宋体" w:asciiTheme="minorEastAsia" w:hAnsiTheme="minorEastAsia"/>
          <w:b/>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bidi="ar-SA"/>
        </w:rPr>
        <w:t>一、</w:t>
      </w:r>
      <w:r>
        <w:rPr>
          <w:rFonts w:hint="eastAsia" w:cs="宋体" w:asciiTheme="minorEastAsia" w:hAnsiTheme="minorEastAsia"/>
          <w:b w:val="0"/>
          <w:bCs/>
          <w:sz w:val="24"/>
          <w:szCs w:val="24"/>
          <w:lang w:val="en-US" w:eastAsia="zh-CN"/>
        </w:rPr>
        <w:t>除监护仪本身屏幕外，另配置≥15.6英寸显示器四台；配置BIS模块两个，可监测麻醉深度；配备PICCO模块一个，可监测持续心输出量。</w:t>
      </w:r>
    </w:p>
    <w:p>
      <w:pPr>
        <w:spacing w:line="360" w:lineRule="auto"/>
        <w:ind w:firstLine="482" w:firstLineChars="200"/>
        <w:rPr>
          <w:rFonts w:hint="eastAsia" w:cs="宋体" w:asciiTheme="minorEastAsia" w:hAnsiTheme="minorEastAsia"/>
          <w:b/>
          <w:sz w:val="24"/>
          <w:szCs w:val="24"/>
        </w:rPr>
      </w:pPr>
      <w:r>
        <w:rPr>
          <w:rFonts w:hint="eastAsia" w:cs="宋体" w:asciiTheme="minorEastAsia" w:hAnsiTheme="minorEastAsia"/>
          <w:b/>
          <w:sz w:val="24"/>
          <w:szCs w:val="24"/>
          <w:lang w:eastAsia="zh-CN"/>
        </w:rPr>
        <w:t>二、</w:t>
      </w:r>
      <w:r>
        <w:rPr>
          <w:rFonts w:hint="eastAsia" w:cs="宋体" w:asciiTheme="minorEastAsia" w:hAnsiTheme="minorEastAsia"/>
          <w:b/>
          <w:sz w:val="24"/>
          <w:szCs w:val="24"/>
        </w:rPr>
        <w:t>监护仪结构：</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1.模块化插件式床边监护仪，主机、显示屏和插件槽一体化设计，主机插槽数≥6个；≥15.6英寸彩色电容触摸屏，高分辨率</w:t>
      </w:r>
      <w:bookmarkStart w:id="4" w:name="_GoBack"/>
      <w:bookmarkEnd w:id="4"/>
      <w:r>
        <w:rPr>
          <w:rFonts w:hint="eastAsia" w:asciiTheme="minorEastAsia" w:hAnsiTheme="minorEastAsia" w:eastAsiaTheme="minorEastAsia" w:cstheme="minorEastAsia"/>
          <w:bCs/>
          <w:color w:val="auto"/>
          <w:kern w:val="0"/>
          <w:sz w:val="24"/>
          <w:szCs w:val="24"/>
          <w:lang w:val="en-US" w:eastAsia="zh-CN" w:bidi="ar-SA"/>
        </w:rPr>
        <w:t>≥1920×1080像素，≥10通道显示，显示屏亮度自动调节，屏幕支持手势滑动操作，支持穿戴医用防护手套操作</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2.监护仪主机（非辅助插件箱）每个槽位均具备插件模块红外通讯接口以及金属硬件通讯接口（非供电接口），保证模块通讯速率及稳定性，提供监护仪主机插槽图片证明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3.采用无风扇设计，可内置高能锂电池，供电时间≥2小时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4.配置≥4个USB接口，支持连接存储介质、鼠标、键盘、条码扫描枪等USB设备</w:t>
      </w:r>
    </w:p>
    <w:p>
      <w:pPr>
        <w:spacing w:line="360" w:lineRule="auto"/>
        <w:ind w:firstLine="482" w:firstLineChars="200"/>
        <w:rPr>
          <w:rFonts w:hint="eastAsia" w:cs="宋体" w:asciiTheme="minorEastAsia" w:hAnsiTheme="minorEastAsia"/>
          <w:b/>
          <w:sz w:val="24"/>
          <w:szCs w:val="24"/>
        </w:rPr>
      </w:pPr>
      <w:r>
        <w:rPr>
          <w:rFonts w:hint="eastAsia" w:cs="宋体" w:asciiTheme="minorEastAsia" w:hAnsiTheme="minorEastAsia"/>
          <w:b/>
          <w:sz w:val="24"/>
          <w:szCs w:val="24"/>
          <w:lang w:val="en-US" w:eastAsia="zh-CN"/>
        </w:rPr>
        <w:t>三、</w:t>
      </w:r>
      <w:r>
        <w:rPr>
          <w:rFonts w:hint="eastAsia" w:cs="宋体" w:asciiTheme="minorEastAsia" w:hAnsiTheme="minorEastAsia"/>
          <w:b/>
          <w:sz w:val="24"/>
          <w:szCs w:val="24"/>
        </w:rPr>
        <w:t>监测参数：</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5.基本功能模块支持心电，呼吸，心率，无创血压，血氧饱和度，脉搏，双通道体温和双通道有创血压的同时监测</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6.基本功能模块可从监护仪拔出后作为一个独立的监护仪支持病人的无缝转移，插入监护仪操作插槽作为主机模块，具有独立操作显示屏，屏幕尺寸≥5.5英寸，内置锂电池供电≥4小时，无风扇设计</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7.ECG支持3/5导心电监测，可选配6/12导联心电监测。</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8.支持房颤及室上性心律失常分析功能，如：室上性心动过速，SVCs/min等，标配支持≥27种实时心律失常分析</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9.支持≥3通道心电波形同步分析，可进行多导心电分析，提供产品界面、手册截图或技术专利证名材料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10.提供ST段分析功能，适用于成人，小儿和新生儿，支持在专门的窗口中分组显示心脏前壁，下壁和侧壁的ST实时片段和参考片段 </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11.支持RR呼吸率测量，测量范围：1～200rpm</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12.具有QT/QTc实时连续测量功能，提供QT，QTc和ΔQTc参数值的显示</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13.无创血压适用于成人，小儿和新生儿，手动、自动间隔、连续、序列、整点五种测量模式</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14.提供辅助静脉穿刺功能</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15.NIBP 成人病人类型收缩压测量：25～290mmHg</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16.血氧监测适用于成人，小儿和新生儿，提供灌注指数（PI）的监测</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17.支持双通道有创压IBP监测，支持升级多达6通道有创压监测</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18.有创压适用于成人，小儿和新生儿，测量范围：-50～360mmHg</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 xml:space="preserve">19.提供肺动脉锲压（PAWP）的监测和PPV参数监测 </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20.支持多达6道IBP波形叠加显示，满足临床对比查看和节约显示空间的需求</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21.提供麻醉深度BIS模块，模块作为监护仪模块通过三类注册，提供PiCCO技术监测功能模块，非漂浮导管热稀释法或无创阻抗法，可监测胸腔内血容量(ITBV)、血管外肺水(EVLW)，肺毛细血管通透性指数(PVPI)等参数，提供完整的血流动力学参数监测。</w:t>
      </w:r>
    </w:p>
    <w:p>
      <w:pPr>
        <w:spacing w:line="360" w:lineRule="auto"/>
        <w:ind w:right="-512" w:rightChars="-244" w:firstLine="482" w:firstLineChars="200"/>
        <w:rPr>
          <w:rFonts w:asciiTheme="minorEastAsia" w:hAnsiTheme="minorEastAsia"/>
          <w:b/>
          <w:sz w:val="24"/>
          <w:szCs w:val="24"/>
        </w:rPr>
      </w:pPr>
      <w:r>
        <w:rPr>
          <w:rFonts w:hint="eastAsia" w:asciiTheme="minorEastAsia" w:hAnsiTheme="minorEastAsia" w:eastAsiaTheme="minorEastAsia" w:cstheme="minorEastAsia"/>
          <w:b/>
          <w:bCs w:val="0"/>
          <w:color w:val="auto"/>
          <w:kern w:val="0"/>
          <w:sz w:val="24"/>
          <w:szCs w:val="24"/>
          <w:lang w:val="en-US" w:eastAsia="zh-CN" w:bidi="ar-SA"/>
        </w:rPr>
        <w:t>四、</w:t>
      </w:r>
      <w:r>
        <w:rPr>
          <w:rFonts w:hint="eastAsia" w:asciiTheme="minorEastAsia" w:hAnsiTheme="minorEastAsia"/>
          <w:b/>
          <w:sz w:val="24"/>
          <w:szCs w:val="24"/>
        </w:rPr>
        <w:t>系统功能：</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22.具有图形化报警指示功能，看报警信息更容易</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23.具有报警升级功能，当参数报警经过一定的时间未被处理或伴发了其他报警，就会升级到更高一个级别</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24.具有特殊报警音，当监护仪在病人发生致命性参数报警时，发出特殊的报警音进行提示病人处于危急状态</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25.支持根据病人的参数趋势变化，自动推送推荐报警限，具备参数组合报警功能，可对患者同时多个参数变化给出统一报警提示，预示病人不同生理系统状态改变，提供≥10个预设组合报警，并允许自定义≥10个组合报警</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26.标配具备血液动力学，药物计算，氧合计算，通气计算和肾功能计算功能，并提供产品、手册截图证明材料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27.提供血流动力学软件工具，显示完整血流动力学参数，并以图形化界面显示病人心脏收缩力，外周血管阻力等状态，提供电子化血流动力学实验记录，重点参数蛛网图显示评估病人相关参数变化。</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28.提供麻醉平衡软件工具，数字化指标显示病人镇静、镇痛、肌松三方面麻醉状态，自动提示病人三低状态，并予以计时，图形化显示病人脑状态，可进行Aldrete复苏评分，满足临床对病人复苏拔管的评估。</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29.支持≥100小时趋势表和趋势图回顾，最小分辨率1分钟，支持≥800条事件回顾。每条报警事件至少能够存储32秒三道相关波形，以及报警触发时所有测量参数值，具备≥40小时全息波形的存储与回顾功能</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30.支持≥100小时ST波形片段的存储与回顾</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31.患者离开科室，监护仪状态由接收患者到解除患者后，患者数据不删除，支持在监护仪回顾历史病人数据</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32.工作模式提供：监护模式、待机模式、抢救模式，体外循环模式、插管模式，夜间模式、隐私模式</w:t>
      </w:r>
    </w:p>
    <w:p>
      <w:pPr>
        <w:spacing w:line="360" w:lineRule="auto"/>
        <w:ind w:firstLine="482" w:firstLineChars="200"/>
        <w:rPr>
          <w:rFonts w:hint="eastAsia" w:eastAsia="宋体" w:asciiTheme="minorEastAsia" w:hAnsiTheme="minorEastAsia"/>
          <w:b/>
          <w:sz w:val="24"/>
          <w:szCs w:val="24"/>
          <w:lang w:eastAsia="zh-CN"/>
        </w:rPr>
      </w:pPr>
      <w:r>
        <w:rPr>
          <w:rFonts w:hint="eastAsia" w:asciiTheme="minorEastAsia" w:hAnsiTheme="minorEastAsia"/>
          <w:b/>
          <w:sz w:val="24"/>
          <w:szCs w:val="24"/>
          <w:lang w:eastAsia="zh-CN"/>
        </w:rPr>
        <w:t>五、</w:t>
      </w:r>
      <w:r>
        <w:rPr>
          <w:rFonts w:hint="eastAsia" w:asciiTheme="minorEastAsia" w:hAnsiTheme="minorEastAsia"/>
          <w:b/>
          <w:sz w:val="24"/>
          <w:szCs w:val="24"/>
        </w:rPr>
        <w:t>产品设计与认证</w:t>
      </w:r>
      <w:r>
        <w:rPr>
          <w:rFonts w:hint="eastAsia" w:asciiTheme="minorEastAsia" w:hAnsiTheme="minorEastAsia"/>
          <w:b/>
          <w:sz w:val="24"/>
          <w:szCs w:val="24"/>
          <w:lang w:eastAsia="zh-CN"/>
        </w:rPr>
        <w:t>：</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33.产品通过国家III类注册，具备FDA认证，CE MDD认证</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34.产品设计使用年限≥10年</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插件式麻醉监护仪</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插件式麻醉监护仪</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插件式麻醉监护仪</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2套</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w:t>
      </w:r>
      <w:r>
        <w:rPr>
          <w:rFonts w:hint="eastAsia" w:ascii="宋体" w:hAnsi="宋体" w:eastAsia="宋体" w:cs="宋体"/>
          <w:color w:val="FF0000"/>
          <w:sz w:val="24"/>
          <w:szCs w:val="24"/>
          <w:lang w:val="en-US" w:eastAsia="zh-CN"/>
        </w:rPr>
        <w:t>向甲方</w:t>
      </w:r>
      <w:r>
        <w:rPr>
          <w:rFonts w:hint="eastAsia" w:ascii="宋体" w:hAnsi="宋体" w:eastAsia="宋体" w:cs="宋体"/>
          <w:color w:val="auto"/>
          <w:sz w:val="24"/>
          <w:szCs w:val="24"/>
          <w:lang w:val="en-US" w:eastAsia="zh-CN"/>
        </w:rPr>
        <w:t>提供以自己名义开具的与结算总价款对应的增值税普通发票；</w:t>
      </w:r>
      <w:r>
        <w:rPr>
          <w:rFonts w:hint="eastAsia" w:ascii="宋体" w:hAnsi="宋体" w:eastAsia="宋体" w:cs="宋体"/>
          <w:color w:val="FF0000"/>
          <w:sz w:val="24"/>
          <w:szCs w:val="24"/>
          <w:lang w:val="en-US" w:eastAsia="zh-CN"/>
        </w:rPr>
        <w:t>如因乙方未提供发票，甲方有权顺延付款期限，</w:t>
      </w:r>
      <w:r>
        <w:rPr>
          <w:rFonts w:hint="eastAsia" w:ascii="宋体" w:hAnsi="宋体" w:eastAsia="宋体" w:cs="宋体"/>
          <w:color w:val="auto"/>
          <w:sz w:val="24"/>
          <w:szCs w:val="24"/>
          <w:lang w:val="en-US" w:eastAsia="zh-CN"/>
        </w:rPr>
        <w:t>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w:t>
      </w:r>
      <w:r>
        <w:rPr>
          <w:rFonts w:hint="eastAsia" w:ascii="宋体" w:hAnsi="宋体" w:eastAsia="宋体" w:cs="宋体"/>
          <w:color w:val="FF0000"/>
          <w:sz w:val="24"/>
          <w:szCs w:val="24"/>
          <w:lang w:val="en-US" w:eastAsia="zh-CN"/>
        </w:rPr>
        <w:t>收款银行</w:t>
      </w:r>
      <w:r>
        <w:rPr>
          <w:rFonts w:hint="eastAsia" w:ascii="宋体" w:hAnsi="宋体" w:eastAsia="宋体" w:cs="宋体"/>
          <w:color w:val="auto"/>
          <w:sz w:val="24"/>
          <w:szCs w:val="24"/>
          <w:lang w:val="en-US" w:eastAsia="zh-CN"/>
        </w:rPr>
        <w:t>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FF0000"/>
          <w:sz w:val="24"/>
          <w:szCs w:val="24"/>
          <w:lang w:val="en-US" w:eastAsia="zh-CN"/>
        </w:rPr>
        <w:t>如双方在履行本合同过程中发生争议</w:t>
      </w:r>
      <w:r>
        <w:rPr>
          <w:rFonts w:hint="eastAsia" w:ascii="宋体" w:hAnsi="宋体" w:eastAsia="宋体" w:cs="宋体"/>
          <w:color w:val="auto"/>
          <w:sz w:val="24"/>
          <w:szCs w:val="24"/>
          <w:lang w:val="en-US" w:eastAsia="zh-CN"/>
        </w:rPr>
        <w:t>，双方应先协商解决，协商解决不成的，</w:t>
      </w:r>
      <w:r>
        <w:rPr>
          <w:rFonts w:hint="eastAsia" w:ascii="宋体" w:hAnsi="宋体" w:eastAsia="宋体" w:cs="宋体"/>
          <w:color w:val="0000FF"/>
          <w:sz w:val="24"/>
          <w:szCs w:val="24"/>
          <w:lang w:val="en-US" w:eastAsia="zh-CN"/>
        </w:rPr>
        <w:t>任一方均可向</w:t>
      </w:r>
      <w:r>
        <w:rPr>
          <w:rFonts w:hint="eastAsia" w:ascii="宋体" w:hAnsi="宋体" w:eastAsia="宋体" w:cs="宋体"/>
          <w:color w:val="auto"/>
          <w:sz w:val="24"/>
          <w:szCs w:val="24"/>
          <w:lang w:val="en-US" w:eastAsia="zh-CN"/>
        </w:rPr>
        <w:t>甲方所在地有管辖权的人民法院</w:t>
      </w:r>
      <w:r>
        <w:rPr>
          <w:rFonts w:hint="eastAsia" w:ascii="宋体" w:hAnsi="宋体" w:eastAsia="宋体" w:cs="宋体"/>
          <w:color w:val="FF0000"/>
          <w:sz w:val="24"/>
          <w:szCs w:val="24"/>
          <w:lang w:val="en-US" w:eastAsia="zh-CN"/>
        </w:rPr>
        <w:t>提起诉讼解决</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5"/>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6"/>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5"/>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5"/>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6"/>
        <w:rPr>
          <w:color w:val="auto"/>
        </w:rPr>
      </w:pPr>
    </w:p>
    <w:p>
      <w:pPr>
        <w:pStyle w:val="15"/>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302741D2"/>
    <w:rsid w:val="308B184D"/>
    <w:rsid w:val="33384C93"/>
    <w:rsid w:val="340F06E9"/>
    <w:rsid w:val="372F7378"/>
    <w:rsid w:val="397348CD"/>
    <w:rsid w:val="3B3B544D"/>
    <w:rsid w:val="3B654F2B"/>
    <w:rsid w:val="3BB72BAE"/>
    <w:rsid w:val="3C8A61A4"/>
    <w:rsid w:val="3D5E17FF"/>
    <w:rsid w:val="3E1F0DA4"/>
    <w:rsid w:val="3E584E51"/>
    <w:rsid w:val="3EBE1ADE"/>
    <w:rsid w:val="414D7889"/>
    <w:rsid w:val="41A24017"/>
    <w:rsid w:val="41BB0BAE"/>
    <w:rsid w:val="429A4992"/>
    <w:rsid w:val="435B161D"/>
    <w:rsid w:val="43B25DAC"/>
    <w:rsid w:val="44F46758"/>
    <w:rsid w:val="45D569C3"/>
    <w:rsid w:val="4B7F39F4"/>
    <w:rsid w:val="4BAE646F"/>
    <w:rsid w:val="4CAC1559"/>
    <w:rsid w:val="4D754257"/>
    <w:rsid w:val="4DCD6AB3"/>
    <w:rsid w:val="50216DCD"/>
    <w:rsid w:val="50540C20"/>
    <w:rsid w:val="51AC28BD"/>
    <w:rsid w:val="59C74B1F"/>
    <w:rsid w:val="611B6B1B"/>
    <w:rsid w:val="64133D6A"/>
    <w:rsid w:val="678E4F5D"/>
    <w:rsid w:val="680E122C"/>
    <w:rsid w:val="6DE375E4"/>
    <w:rsid w:val="6E8E5287"/>
    <w:rsid w:val="6FBE332C"/>
    <w:rsid w:val="71176CE1"/>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character" w:styleId="11">
    <w:name w:val="annotation reference"/>
    <w:basedOn w:val="10"/>
    <w:qFormat/>
    <w:uiPriority w:val="0"/>
    <w:rPr>
      <w:sz w:val="21"/>
      <w:szCs w:val="21"/>
    </w:rPr>
  </w:style>
  <w:style w:type="paragraph" w:customStyle="1" w:styleId="12">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3">
    <w:name w:val="Default"/>
    <w:next w:val="1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大标题"/>
    <w:basedOn w:val="1"/>
    <w:next w:val="5"/>
    <w:autoRedefine/>
    <w:qFormat/>
    <w:uiPriority w:val="0"/>
    <w:pPr>
      <w:jc w:val="center"/>
    </w:pPr>
    <w:rPr>
      <w:rFonts w:ascii="Arial" w:hAnsi="Arial" w:eastAsia="宋体"/>
      <w:b/>
      <w:sz w:val="28"/>
      <w:szCs w:val="24"/>
    </w:rPr>
  </w:style>
  <w:style w:type="paragraph" w:customStyle="1" w:styleId="15">
    <w:name w:val="列出段落1"/>
    <w:basedOn w:val="1"/>
    <w:autoRedefine/>
    <w:qFormat/>
    <w:uiPriority w:val="99"/>
    <w:pPr>
      <w:ind w:firstLine="420" w:firstLineChars="200"/>
    </w:pPr>
  </w:style>
  <w:style w:type="paragraph" w:customStyle="1" w:styleId="16">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7">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2024-01-31T01:01:50Z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