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（麻醉机医院公开挂网</w:t>
      </w:r>
      <w:r>
        <w:rPr>
          <w:rFonts w:hint="eastAsia" w:ascii="Times New Roman" w:hAnsi="Times New Roman" w:eastAsia="宋体" w:cs="Times New Roman"/>
          <w:b/>
          <w:bCs/>
          <w:kern w:val="44"/>
          <w:sz w:val="32"/>
          <w:szCs w:val="32"/>
          <w:lang w:val="en-US" w:eastAsia="zh-CN" w:bidi="ar-SA"/>
        </w:rPr>
        <w:t>）</w:t>
      </w: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四</w:t>
      </w:r>
      <w:r>
        <w:rPr>
          <w:rFonts w:hint="eastAsia" w:ascii="宋体" w:hAnsi="宋体" w:cs="宋体"/>
          <w:bCs/>
          <w:sz w:val="32"/>
          <w:szCs w:val="32"/>
        </w:rPr>
        <w:t>年</w:t>
      </w:r>
      <w:r>
        <w:rPr>
          <w:rFonts w:hint="eastAsia" w:ascii="宋体" w:hAnsi="宋体" w:cs="宋体"/>
          <w:bCs/>
          <w:sz w:val="32"/>
          <w:szCs w:val="32"/>
          <w:lang w:eastAsia="zh-CN"/>
        </w:rPr>
        <w:t>一</w:t>
      </w:r>
      <w:r>
        <w:rPr>
          <w:rFonts w:hint="eastAsia" w:ascii="宋体" w:hAnsi="宋体" w:cs="宋体"/>
          <w:bCs/>
          <w:sz w:val="32"/>
          <w:szCs w:val="32"/>
        </w:rPr>
        <w:t>月</w:t>
      </w: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麻醉机</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麻醉机</w:t>
      </w:r>
      <w:r>
        <w:rPr>
          <w:rFonts w:hint="eastAsia" w:asciiTheme="minorEastAsia" w:hAnsiTheme="minorEastAsia" w:eastAsiaTheme="minorEastAsia" w:cstheme="minorEastAsia"/>
          <w:b w:val="0"/>
          <w:bCs/>
          <w:color w:val="auto"/>
          <w:sz w:val="24"/>
          <w:szCs w:val="24"/>
          <w:lang w:val="en-US" w:eastAsia="zh-CN"/>
        </w:rPr>
        <w:t>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bidi="ar-SA"/>
        </w:rPr>
        <w:t>1、医院</w:t>
      </w:r>
      <w:r>
        <w:rPr>
          <w:rFonts w:hint="eastAsia" w:asciiTheme="minorEastAsia" w:hAnsiTheme="minorEastAsia" w:eastAsiaTheme="minorEastAsia" w:cstheme="minorEastAsia"/>
          <w:bCs/>
          <w:color w:val="auto"/>
          <w:sz w:val="24"/>
          <w:szCs w:val="24"/>
          <w:lang w:val="en-US" w:eastAsia="zh-CN"/>
        </w:rPr>
        <w:t>公开挂网，最低评标价法，在满足所有参数的条件下，报价最低者中标，如有多个并列最低价，则由并列最低价投标人再次报价，直至出现最低报价为止。</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1、投标人的基本资格条件：投标人必须是在中华人民共和国境内注册登记的法人、其他组织或者自然人，且应当符合《政府采购法》第二十二条第一款的规定；</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1、投标截止时间、开标时间：具体时间另行通知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2370"/>
        <w:gridCol w:w="1665"/>
        <w:gridCol w:w="2310"/>
        <w:gridCol w:w="200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w:t>
            </w:r>
            <w:r>
              <w:rPr>
                <w:rFonts w:hint="eastAsia" w:asciiTheme="minorEastAsia" w:hAnsiTheme="minorEastAsia" w:eastAsiaTheme="minorEastAsia" w:cstheme="minorEastAsia"/>
                <w:kern w:val="2"/>
                <w:sz w:val="24"/>
                <w:szCs w:val="24"/>
                <w:lang w:eastAsia="zh-CN"/>
              </w:rPr>
              <w:t>总</w:t>
            </w:r>
            <w:r>
              <w:rPr>
                <w:rFonts w:hint="eastAsia" w:asciiTheme="minorEastAsia" w:hAnsiTheme="minorEastAsia" w:eastAsiaTheme="minorEastAsia" w:cstheme="minorEastAsia"/>
                <w:kern w:val="2"/>
                <w:sz w:val="24"/>
                <w:szCs w:val="24"/>
              </w:rPr>
              <w:t>价（万元）</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81"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7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麻醉机</w:t>
            </w:r>
          </w:p>
        </w:tc>
        <w:tc>
          <w:tcPr>
            <w:tcW w:w="166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310"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19.8</w:t>
            </w:r>
          </w:p>
        </w:tc>
        <w:tc>
          <w:tcPr>
            <w:tcW w:w="200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二、项目内容及要求（以下内容必须全部响应，否则视为无效投标）</w:t>
      </w:r>
    </w:p>
    <w:p>
      <w:pPr>
        <w:spacing w:line="360" w:lineRule="auto"/>
        <w:ind w:firstLine="482"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技术参数：</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1、工作条件及基本配件：</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1.1 操作环境，温度：10°至40°C，湿度：15% 至 93%</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1.2后备电池使用时间：≥120分钟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1.3标配配辅助输出电源接口，具有RJ45接口、以太网连接功能。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1.4适合内窥镜手术模式：最好具备顶光灯，能够在黑暗环境中提供麻醉机工作台面照明</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2、气源：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2.1氧气，笑气，空气三气源，可进行非纯氧供气，工作压力为0.28~0.6Mpa</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2.2氧气：具备安全保护装置，在供氧压低于200Kpa时报警</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2.3标配吸入氧浓度监测，保障患者安全。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2.4快速充氧范围25 - 75 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 、流量计：</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3.1具备氧气，笑气，空气机械三气六管流量计，快速直观，调节范围：0-10L/min。</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4、挥发罐：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4.1标配一个高品质挥发罐，具备压力、流速和温度补偿，罐位具备安全互锁功能。</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5、呼吸回路：</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5.1回路部件可以耐受最高134℃高温高压消毒以避免院内交叉感染，且可以徒手拆卸，呼吸回路的进气端和出气端均位于麻醉机正前方，便于麻醉医生操作。</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5.2配2个二氧化碳吸收罐</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5.3内置双流量传感器，分别在吸入端，呼出端，实现动态潮气量实时自动补偿功能，补偿新鲜气体变化、气体压缩、回路顺应性变化以及小的回路泄漏造成的吸入潮气量和设置潮气量的误差。</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5.4最好具备新鲜气体输出口，输出口无需改装可直接连接特殊的开放式回路，如Bain回路、T管等</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5.5具有回路整体加温功能，保证回路不受积水影响及向病人提供温暖气体，避免对呼吸道的刺激</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5.6具配自动CO2旁路功能，在机械通气过程中，更换钠石灰罐无需选择确认，无需关停机械通气，可方便直接更换。</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 xml:space="preserve">6、呼吸机 </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6.1气动电控呼吸机，全中文操作和显示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6.2提供辅助/控制通气，标配通气模式：容量控制模式、压力控制模式、手动通气、电子PEEP、SIMV-VC、SIMV-PC，可选配带窒息后备保护通气的PSV、PSVPro以及压力调节容量控制通气（PRVC）、SIMV-PRVC等</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6.3潮气量设置范围：18ml-1500ml</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6.4吸气压力设置范围：PEEP+5～65 cmH2O</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6.5呼吸频率：4-100 次/分钟</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6.6吸呼比：4:1到1:9</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6.7压力限制范围：10到 99 cmH2O</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6.8电子PEEP，显示屏设置，范围：OFF，3 到 30 cmH2O</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6.9吸气暂停：5%-60%吸气时间</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6.10 SIMV模式下：流速触发；触发范围可调：1–15 L/min；压力触发-20～-1cmH2O</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6.11上升式风箱，可以直接观察病人实际呼吸状态，保证安全</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7、数字和波形监测：</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7.1具备三级声光报警功能，有独立红黄报警灯显示</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7.2≥12彩色触摸屏，屏幕可折叠，可多角度旋转调节，可同屏显示不少于4通道波形。</w:t>
      </w:r>
    </w:p>
    <w:p>
      <w:pPr>
        <w:spacing w:line="360" w:lineRule="auto"/>
        <w:ind w:firstLine="480" w:firstLineChars="200"/>
        <w:rPr>
          <w:rFonts w:hint="eastAsia" w:asciiTheme="minorEastAsia" w:hAnsiTheme="minorEastAsia" w:eastAsiaTheme="minorEastAsia" w:cstheme="minorEastAsia"/>
          <w:b w:val="0"/>
          <w:bCs/>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7.3监测参数：呼吸频率、潮气量、分钟通气量、吸呼比、气道压（峰压、平台压、平均压、PEEP）、气道阻力、顺应性、吸入氧浓度监测，呼吸环（P-V,P-F）监测</w:t>
      </w:r>
    </w:p>
    <w:p>
      <w:pPr>
        <w:spacing w:line="360" w:lineRule="auto"/>
        <w:ind w:firstLine="480" w:firstLineChars="200"/>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val="0"/>
          <w:bCs/>
          <w:color w:val="auto"/>
          <w:kern w:val="0"/>
          <w:sz w:val="24"/>
          <w:szCs w:val="24"/>
          <w:lang w:val="en-US" w:eastAsia="zh-CN" w:bidi="ar-SA"/>
        </w:rPr>
        <w:t>7.4标配呼末二氧化碳监测，同屏幕4通道任意波形显示（压力时间波形，流速时间波形，容量时间波形，呼末CO2波形）</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2年</w:t>
      </w:r>
      <w:r>
        <w:rPr>
          <w:rFonts w:hint="eastAsia" w:ascii="宋体" w:hAnsi="宋体" w:eastAsia="宋体" w:cs="宋体"/>
          <w:color w:val="auto"/>
          <w:sz w:val="24"/>
          <w:szCs w:val="24"/>
        </w:rPr>
        <w:t>后</w:t>
      </w:r>
      <w:r>
        <w:rPr>
          <w:rFonts w:hint="eastAsia" w:ascii="宋体" w:hAnsi="宋体" w:cs="宋体"/>
          <w:color w:val="auto"/>
          <w:sz w:val="24"/>
          <w:szCs w:val="24"/>
          <w:lang w:eastAsia="zh-CN"/>
        </w:rPr>
        <w:t>免息</w:t>
      </w:r>
      <w:r>
        <w:rPr>
          <w:rFonts w:hint="eastAsia" w:ascii="宋体" w:hAnsi="宋体" w:eastAsia="宋体" w:cs="宋体"/>
          <w:color w:val="auto"/>
          <w:sz w:val="24"/>
          <w:szCs w:val="24"/>
        </w:rPr>
        <w:t>支付10%余款给乙方。</w:t>
      </w:r>
      <w:r>
        <w:rPr>
          <w:rFonts w:hint="eastAsia" w:ascii="宋体" w:hAnsi="宋体" w:eastAsia="宋体" w:cs="宋体"/>
          <w:color w:val="auto"/>
          <w:sz w:val="24"/>
          <w:szCs w:val="24"/>
        </w:rPr>
        <w:cr/>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6、在投标文件中必须提供相关佐证资料（加盖投标人公章的技术参数、技术白皮书、说明书、彩页），并在响应表中备注该条参数响应或正偏离的佐证资料所在页码。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val="0"/>
          <w:bCs w:val="0"/>
          <w:color w:val="auto"/>
          <w:sz w:val="24"/>
          <w:szCs w:val="24"/>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医院公开挂网 </w:t>
      </w:r>
      <w:r>
        <w:rPr>
          <w:rFonts w:hint="eastAsia" w:ascii="宋体" w:hAnsi="宋体" w:eastAsia="宋体" w:cs="宋体"/>
          <w:color w:val="auto"/>
          <w:sz w:val="24"/>
          <w:szCs w:val="24"/>
          <w:lang w:val="en-US" w:eastAsia="zh-CN"/>
        </w:rPr>
        <w:t>采购</w:t>
      </w:r>
      <w:r>
        <w:rPr>
          <w:rFonts w:hint="eastAsia" w:ascii="宋体" w:hAnsi="宋体" w:cs="宋体"/>
          <w:color w:val="auto"/>
          <w:sz w:val="24"/>
          <w:szCs w:val="24"/>
          <w:u w:val="single"/>
          <w:lang w:val="en-US" w:eastAsia="zh-CN"/>
        </w:rPr>
        <w:t>麻醉机</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cs="宋体"/>
          <w:color w:val="auto"/>
          <w:sz w:val="24"/>
          <w:szCs w:val="24"/>
          <w:u w:val="single"/>
          <w:lang w:val="en-US" w:eastAsia="zh-CN"/>
        </w:rPr>
        <w:t>麻醉机</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795" w:tblpY="148"/>
        <w:tblOverlap w:val="never"/>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1590"/>
        <w:gridCol w:w="1185"/>
        <w:gridCol w:w="1380"/>
        <w:gridCol w:w="9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59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07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麻醉机</w:t>
            </w:r>
          </w:p>
        </w:tc>
        <w:tc>
          <w:tcPr>
            <w:tcW w:w="159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18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8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套</w:t>
            </w:r>
          </w:p>
        </w:tc>
        <w:tc>
          <w:tcPr>
            <w:tcW w:w="1515"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655"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eastAsia" w:ascii="宋体" w:hAnsi="宋体" w:cs="宋体"/>
          <w:color w:val="auto"/>
          <w:sz w:val="24"/>
          <w:szCs w:val="24"/>
          <w:lang w:val="en-US" w:eastAsia="zh-CN"/>
        </w:rPr>
        <w:t>接到甲方通知15个自然日内</w:t>
      </w:r>
      <w:r>
        <w:rPr>
          <w:rFonts w:hint="default" w:ascii="宋体" w:hAnsi="宋体" w:eastAsia="宋体" w:cs="宋体"/>
          <w:color w:val="auto"/>
          <w:sz w:val="24"/>
          <w:szCs w:val="24"/>
          <w:lang w:val="en-US" w:eastAsia="zh-CN"/>
        </w:rPr>
        <w:t>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eastAsia" w:ascii="宋体" w:hAnsi="宋体" w:eastAsia="宋体" w:cs="宋体"/>
          <w:color w:val="auto"/>
          <w:sz w:val="24"/>
          <w:szCs w:val="24"/>
          <w:lang w:val="en-US" w:eastAsia="zh-CN"/>
        </w:rPr>
        <w:t>在</w:t>
      </w:r>
      <w:r>
        <w:rPr>
          <w:rFonts w:hint="eastAsia" w:ascii="宋体" w:hAnsi="宋体" w:cs="宋体"/>
          <w:color w:val="auto"/>
          <w:sz w:val="24"/>
          <w:szCs w:val="24"/>
          <w:u w:val="none"/>
          <w:lang w:val="en-US" w:eastAsia="zh-CN"/>
        </w:rPr>
        <w:t>到货后1天内</w:t>
      </w:r>
      <w:r>
        <w:rPr>
          <w:rFonts w:hint="default" w:ascii="宋体" w:hAnsi="宋体" w:eastAsia="宋体" w:cs="宋体"/>
          <w:color w:val="auto"/>
          <w:sz w:val="24"/>
          <w:szCs w:val="24"/>
          <w:lang w:val="en-US" w:eastAsia="zh-CN"/>
        </w:rPr>
        <w:t>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00" w:themeColor="text1"/>
          <w:sz w:val="24"/>
          <w:szCs w:val="24"/>
          <w:lang w:val="en-US" w:eastAsia="zh-CN"/>
          <w14:textFill>
            <w14:solidFill>
              <w14:schemeClr w14:val="tx1"/>
            </w14:solidFill>
          </w14:textFill>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3.2.1 到货验收：乙方将设备运至指定交货地点后，应通知甲方，并向甲方提供厂家标准资料文件（进口设备需提供真实有效的海关报关单，其他设备需提供产品合格证）和原厂售后质保承诺书。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3.2.2 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3.2.3 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4.6.1 甲方的文书送达地址：娄底市中心医院（湖南省娄底市娄星区长青中街51号）；联系人：</w:t>
      </w:r>
      <w:r>
        <w:rPr>
          <w:rFonts w:hint="eastAsia" w:ascii="宋体" w:hAnsi="宋体" w:eastAsia="宋体" w:cs="宋体"/>
          <w:color w:val="auto"/>
          <w:sz w:val="24"/>
          <w:szCs w:val="24"/>
          <w:u w:val="single"/>
          <w:lang w:val="en-US" w:eastAsia="zh-CN"/>
        </w:rPr>
        <w:t>朱振宇</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15673845559 </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4.6.2 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4.6.3 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479" w:leftChars="228" w:firstLine="0" w:firstLineChars="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质保期内，乙方每年至少对设备进行一次巡检并向甲方提交巡检记录。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质保期届满后，如设备出现问题，乙方应在接到甲方通知（包括电话通知）后</w:t>
      </w:r>
      <w:r>
        <w:rPr>
          <w:rFonts w:hint="eastAsia" w:ascii="宋体" w:hAnsi="宋体" w:eastAsia="宋体" w:cs="宋体"/>
          <w:color w:val="0000FF"/>
          <w:sz w:val="24"/>
          <w:szCs w:val="24"/>
          <w:highlight w:val="none"/>
          <w:lang w:val="en-US" w:eastAsia="zh-CN"/>
        </w:rPr>
        <w:t>24小时内响应</w:t>
      </w:r>
      <w:r>
        <w:rPr>
          <w:rFonts w:hint="eastAsia" w:ascii="宋体" w:hAnsi="宋体" w:eastAsia="宋体" w:cs="宋体"/>
          <w:color w:val="auto"/>
          <w:sz w:val="24"/>
          <w:szCs w:val="24"/>
          <w:lang w:val="en-US" w:eastAsia="zh-CN"/>
        </w:rPr>
        <w:t>，响应后4小时上门服务，相关费用由甲方承担。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2</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00" w:themeColor="text1"/>
          <w:sz w:val="24"/>
          <w:szCs w:val="24"/>
          <w:lang w:val="en-US" w:eastAsia="zh-CN"/>
          <w14:textFill>
            <w14:solidFill>
              <w14:schemeClr w14:val="tx1"/>
            </w14:solidFill>
          </w14:textFill>
        </w:rPr>
        <w:t>，免息支</w:t>
      </w:r>
      <w:r>
        <w:rPr>
          <w:rFonts w:hint="eastAsia" w:ascii="宋体" w:hAnsi="宋体" w:eastAsia="宋体" w:cs="宋体"/>
          <w:color w:val="auto"/>
          <w:sz w:val="24"/>
          <w:szCs w:val="24"/>
          <w:lang w:val="en-US" w:eastAsia="zh-CN"/>
        </w:rPr>
        <w:t>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w:t>
      </w:r>
      <w:r>
        <w:rPr>
          <w:rFonts w:hint="eastAsia" w:ascii="宋体" w:hAnsi="宋体" w:eastAsia="宋体" w:cs="宋体"/>
          <w:color w:val="FF0000"/>
          <w:sz w:val="24"/>
          <w:szCs w:val="24"/>
          <w:lang w:val="en-US" w:eastAsia="zh-CN"/>
        </w:rPr>
        <w:t>向甲方</w:t>
      </w:r>
      <w:r>
        <w:rPr>
          <w:rFonts w:hint="eastAsia" w:ascii="宋体" w:hAnsi="宋体" w:eastAsia="宋体" w:cs="宋体"/>
          <w:color w:val="auto"/>
          <w:sz w:val="24"/>
          <w:szCs w:val="24"/>
          <w:lang w:val="en-US" w:eastAsia="zh-CN"/>
        </w:rPr>
        <w:t>提供以自己名义开具的与结算总价款对应的增值税普通发票送交甲方，</w:t>
      </w:r>
      <w:r>
        <w:rPr>
          <w:rFonts w:hint="eastAsia" w:ascii="宋体" w:hAnsi="宋体" w:eastAsia="宋体" w:cs="宋体"/>
          <w:color w:val="FF0000"/>
          <w:sz w:val="24"/>
          <w:szCs w:val="24"/>
          <w:lang w:val="en-US" w:eastAsia="zh-CN"/>
        </w:rPr>
        <w:t>如因乙方未提供发票，甲方有权顺延付款期限，</w:t>
      </w:r>
      <w:r>
        <w:rPr>
          <w:rFonts w:hint="eastAsia" w:ascii="宋体" w:hAnsi="宋体" w:eastAsia="宋体" w:cs="宋体"/>
          <w:color w:val="auto"/>
          <w:sz w:val="24"/>
          <w:szCs w:val="24"/>
          <w:lang w:val="en-US" w:eastAsia="zh-CN"/>
        </w:rPr>
        <w:t>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w:t>
      </w:r>
      <w:r>
        <w:rPr>
          <w:rFonts w:hint="eastAsia" w:ascii="宋体" w:hAnsi="宋体" w:cs="宋体"/>
          <w:color w:val="auto"/>
          <w:sz w:val="24"/>
          <w:szCs w:val="24"/>
          <w:lang w:val="en-US" w:eastAsia="zh-CN"/>
        </w:rPr>
        <w:t>收款银行</w:t>
      </w:r>
      <w:bookmarkStart w:id="4" w:name="_GoBack"/>
      <w:bookmarkEnd w:id="4"/>
      <w:r>
        <w:rPr>
          <w:rFonts w:hint="eastAsia" w:ascii="宋体" w:hAnsi="宋体" w:eastAsia="宋体" w:cs="宋体"/>
          <w:color w:val="auto"/>
          <w:sz w:val="24"/>
          <w:szCs w:val="24"/>
          <w:lang w:val="en-US" w:eastAsia="zh-CN"/>
        </w:rPr>
        <w:t>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8.2.1 乙方逾期</w:t>
      </w:r>
      <w:r>
        <w:rPr>
          <w:rFonts w:hint="eastAsia" w:ascii="宋体" w:hAnsi="宋体" w:eastAsia="宋体" w:cs="宋体"/>
          <w:color w:val="auto"/>
          <w:sz w:val="24"/>
          <w:szCs w:val="24"/>
          <w:u w:val="single"/>
          <w:lang w:val="en-US" w:eastAsia="zh-CN"/>
        </w:rPr>
        <w:t>30</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8.2.2 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8.2.3 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8.2.4 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FF0000"/>
          <w:sz w:val="24"/>
          <w:szCs w:val="24"/>
          <w:lang w:val="en-US" w:eastAsia="zh-CN"/>
        </w:rPr>
        <w:t>如双方在履行本合同过程中发生争议</w:t>
      </w:r>
      <w:r>
        <w:rPr>
          <w:rFonts w:hint="eastAsia" w:ascii="宋体" w:hAnsi="宋体" w:eastAsia="宋体" w:cs="宋体"/>
          <w:color w:val="auto"/>
          <w:sz w:val="24"/>
          <w:szCs w:val="24"/>
          <w:lang w:val="en-US" w:eastAsia="zh-CN"/>
        </w:rPr>
        <w:t>，双方应先协商解决，协商解决不成的，</w:t>
      </w:r>
      <w:r>
        <w:rPr>
          <w:rFonts w:hint="eastAsia" w:ascii="宋体" w:hAnsi="宋体" w:eastAsia="宋体" w:cs="宋体"/>
          <w:color w:val="0000FF"/>
          <w:sz w:val="24"/>
          <w:szCs w:val="24"/>
          <w:lang w:val="en-US" w:eastAsia="zh-CN"/>
        </w:rPr>
        <w:t>任一方均可向</w:t>
      </w:r>
      <w:r>
        <w:rPr>
          <w:rFonts w:hint="eastAsia" w:ascii="宋体" w:hAnsi="宋体" w:eastAsia="宋体" w:cs="宋体"/>
          <w:color w:val="auto"/>
          <w:sz w:val="24"/>
          <w:szCs w:val="24"/>
          <w:lang w:val="en-US" w:eastAsia="zh-CN"/>
        </w:rPr>
        <w:t>甲方所在地有管辖权的人民法院</w:t>
      </w:r>
      <w:r>
        <w:rPr>
          <w:rFonts w:hint="eastAsia" w:ascii="宋体" w:hAnsi="宋体" w:eastAsia="宋体" w:cs="宋体"/>
          <w:color w:val="FF0000"/>
          <w:sz w:val="24"/>
          <w:szCs w:val="24"/>
          <w:lang w:val="en-US" w:eastAsia="zh-CN"/>
        </w:rPr>
        <w:t>提起诉讼解决</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本合同一式伍份，甲方执肆份、乙方执壹份，自双方签字并盖章之日起生效。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 xml:space="preserve">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2"/>
        <w:rPr>
          <w:rFonts w:hint="eastAsia" w:ascii="宋体" w:hAnsi="宋体" w:cs="宋体"/>
          <w:color w:val="auto"/>
          <w:sz w:val="44"/>
          <w:szCs w:val="44"/>
          <w:lang w:val="en-US" w:eastAsia="zh-CN"/>
        </w:rPr>
      </w:pPr>
    </w:p>
    <w:p>
      <w:pPr>
        <w:pStyle w:val="14"/>
        <w:widowControl w:val="0"/>
        <w:numPr>
          <w:ilvl w:val="0"/>
          <w:numId w:val="0"/>
        </w:numPr>
        <w:jc w:val="both"/>
        <w:rPr>
          <w:color w:val="auto"/>
          <w:sz w:val="28"/>
          <w:szCs w:val="28"/>
        </w:rPr>
      </w:pPr>
    </w:p>
    <w:p>
      <w:pPr>
        <w:pStyle w:val="2"/>
        <w:numPr>
          <w:ilvl w:val="0"/>
          <w:numId w:val="0"/>
        </w:numPr>
        <w:spacing w:line="240" w:lineRule="auto"/>
        <w:ind w:left="2940" w:leftChars="0"/>
        <w:jc w:val="both"/>
        <w:rPr>
          <w:rFonts w:hint="eastAsia" w:ascii="宋体" w:hAnsi="宋体" w:cs="宋体"/>
          <w:color w:val="auto"/>
          <w:sz w:val="30"/>
          <w:szCs w:val="30"/>
        </w:rPr>
      </w:pPr>
      <w:bookmarkStart w:id="1" w:name="_Toc16523574"/>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1"/>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headerReference r:id="rId3" w:type="default"/>
          <w:footerReference r:id="rId4"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2" w:name="_Toc476514128"/>
      <w:bookmarkStart w:id="3"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2"/>
    <w:bookmarkEnd w:id="3"/>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rFonts w:hint="eastAsia" w:eastAsia="宋体"/>
          <w:color w:val="auto"/>
          <w:lang w:eastAsia="zh-CN"/>
        </w:rPr>
      </w:pPr>
      <w:r>
        <w:rPr>
          <w:color w:val="auto"/>
          <w:sz w:val="24"/>
        </w:rPr>
        <w:t>（3）</w:t>
      </w:r>
      <w:r>
        <w:rPr>
          <w:rFonts w:hint="eastAsia"/>
          <w:color w:val="auto"/>
          <w:sz w:val="24"/>
          <w:lang w:eastAsia="zh-CN"/>
        </w:rPr>
        <w:t>本项目为最低价评分法，所有参数必须全部响应，并在响应表中逐条应答，如有任何一条负偏离，则视为无效投标</w:t>
      </w:r>
    </w:p>
    <w:p>
      <w:pPr>
        <w:pStyle w:val="15"/>
        <w:rPr>
          <w:color w:val="auto"/>
        </w:rPr>
      </w:pPr>
    </w:p>
    <w:p>
      <w:pPr>
        <w:pStyle w:val="14"/>
        <w:rPr>
          <w:rFonts w:hint="eastAsia"/>
          <w:lang w:eastAsia="zh-CN"/>
        </w:rPr>
      </w:pPr>
    </w:p>
    <w:p/>
    <w:sectPr>
      <w:footerReference r:id="rId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8914C"/>
    <w:multiLevelType w:val="singleLevel"/>
    <w:tmpl w:val="BB68914C"/>
    <w:lvl w:ilvl="0" w:tentative="0">
      <w:start w:val="2"/>
      <w:numFmt w:val="chineseCounting"/>
      <w:suff w:val="nothing"/>
      <w:lvlText w:val="%1、"/>
      <w:lvlJc w:val="left"/>
      <w:rPr>
        <w:rFonts w:hint="eastAsia"/>
      </w:rPr>
    </w:lvl>
  </w:abstractNum>
  <w:abstractNum w:abstractNumId="1">
    <w:nsid w:val="1E6DDE31"/>
    <w:multiLevelType w:val="singleLevel"/>
    <w:tmpl w:val="1E6DDE31"/>
    <w:lvl w:ilvl="0" w:tentative="0">
      <w:start w:val="1"/>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4653F41"/>
    <w:rsid w:val="04B72FC8"/>
    <w:rsid w:val="054A7583"/>
    <w:rsid w:val="06E91EC4"/>
    <w:rsid w:val="0A3F4F3C"/>
    <w:rsid w:val="0E331420"/>
    <w:rsid w:val="0EDD1643"/>
    <w:rsid w:val="10914EF9"/>
    <w:rsid w:val="12080B62"/>
    <w:rsid w:val="12994AC5"/>
    <w:rsid w:val="129F447F"/>
    <w:rsid w:val="12C86253"/>
    <w:rsid w:val="15060AC8"/>
    <w:rsid w:val="15675A4C"/>
    <w:rsid w:val="17F91BB8"/>
    <w:rsid w:val="1AF56B46"/>
    <w:rsid w:val="1E79119D"/>
    <w:rsid w:val="1F334F58"/>
    <w:rsid w:val="1F796B24"/>
    <w:rsid w:val="1FE73549"/>
    <w:rsid w:val="2038045E"/>
    <w:rsid w:val="20B41DA7"/>
    <w:rsid w:val="28E81B29"/>
    <w:rsid w:val="29B45A41"/>
    <w:rsid w:val="2C0A2E19"/>
    <w:rsid w:val="2C7642D0"/>
    <w:rsid w:val="2DD77C64"/>
    <w:rsid w:val="2DDA1E78"/>
    <w:rsid w:val="2DE00B8C"/>
    <w:rsid w:val="2EAC037F"/>
    <w:rsid w:val="2EB67A5C"/>
    <w:rsid w:val="302741D2"/>
    <w:rsid w:val="308B184D"/>
    <w:rsid w:val="33384C93"/>
    <w:rsid w:val="340F06E9"/>
    <w:rsid w:val="372F7378"/>
    <w:rsid w:val="37443CBB"/>
    <w:rsid w:val="39447D81"/>
    <w:rsid w:val="397348CD"/>
    <w:rsid w:val="3B3B544D"/>
    <w:rsid w:val="3B654F2B"/>
    <w:rsid w:val="3BB72BAE"/>
    <w:rsid w:val="3C8A61A4"/>
    <w:rsid w:val="3D5E17FF"/>
    <w:rsid w:val="3E1F0DA4"/>
    <w:rsid w:val="3E584E51"/>
    <w:rsid w:val="3EBE1ADE"/>
    <w:rsid w:val="414D7889"/>
    <w:rsid w:val="41BB0BAE"/>
    <w:rsid w:val="429A4992"/>
    <w:rsid w:val="435B161D"/>
    <w:rsid w:val="43B25DAC"/>
    <w:rsid w:val="45D569C3"/>
    <w:rsid w:val="4B7F39F4"/>
    <w:rsid w:val="4BAE646F"/>
    <w:rsid w:val="4CAC1559"/>
    <w:rsid w:val="4D754257"/>
    <w:rsid w:val="4DCD6AB3"/>
    <w:rsid w:val="50216DCD"/>
    <w:rsid w:val="50540C20"/>
    <w:rsid w:val="51AC28BD"/>
    <w:rsid w:val="59C74B1F"/>
    <w:rsid w:val="611B6B1B"/>
    <w:rsid w:val="64133D6A"/>
    <w:rsid w:val="678E4F5D"/>
    <w:rsid w:val="680E122C"/>
    <w:rsid w:val="6DE375E4"/>
    <w:rsid w:val="6E8E5287"/>
    <w:rsid w:val="6FBE332C"/>
    <w:rsid w:val="710617A6"/>
    <w:rsid w:val="71554367"/>
    <w:rsid w:val="71584067"/>
    <w:rsid w:val="735201FF"/>
    <w:rsid w:val="737B50A4"/>
    <w:rsid w:val="73F40E72"/>
    <w:rsid w:val="74566F5C"/>
    <w:rsid w:val="750117A8"/>
    <w:rsid w:val="755B2270"/>
    <w:rsid w:val="77423DFF"/>
    <w:rsid w:val="783B5EA9"/>
    <w:rsid w:val="79EB699D"/>
    <w:rsid w:val="7B0620DE"/>
    <w:rsid w:val="7BBF44BB"/>
    <w:rsid w:val="7BF15CE4"/>
    <w:rsid w:val="7C3A27E5"/>
    <w:rsid w:val="7D9727DD"/>
    <w:rsid w:val="7EFB4F6E"/>
    <w:rsid w:val="7F1A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autoRedefine/>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4">
    <w:name w:val="Body Text Indent"/>
    <w:basedOn w:val="1"/>
    <w:next w:val="5"/>
    <w:autoRedefine/>
    <w:qFormat/>
    <w:uiPriority w:val="99"/>
    <w:pPr>
      <w:spacing w:line="400" w:lineRule="exact"/>
      <w:ind w:left="630"/>
    </w:pPr>
    <w:rPr>
      <w:rFonts w:ascii="楷体_GB2312"/>
      <w:sz w:val="30"/>
      <w:szCs w:val="30"/>
    </w:rPr>
  </w:style>
  <w:style w:type="paragraph" w:styleId="5">
    <w:name w:val="Body Text First Indent 2"/>
    <w:basedOn w:val="4"/>
    <w:next w:val="1"/>
    <w:autoRedefine/>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autoRedefine/>
    <w:qFormat/>
    <w:uiPriority w:val="0"/>
    <w:pPr>
      <w:tabs>
        <w:tab w:val="center" w:pos="4153"/>
        <w:tab w:val="right" w:pos="8306"/>
      </w:tabs>
      <w:snapToGrid w:val="0"/>
      <w:jc w:val="left"/>
    </w:pPr>
    <w:rPr>
      <w:kern w:val="0"/>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0"/>
    <w:rPr>
      <w:sz w:val="24"/>
    </w:rPr>
  </w:style>
  <w:style w:type="paragraph" w:customStyle="1" w:styleId="11">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autoRedefine/>
    <w:qFormat/>
    <w:uiPriority w:val="0"/>
    <w:pPr>
      <w:jc w:val="center"/>
    </w:pPr>
    <w:rPr>
      <w:rFonts w:ascii="Arial" w:hAnsi="Arial" w:eastAsia="宋体"/>
      <w:b/>
      <w:sz w:val="28"/>
      <w:szCs w:val="24"/>
    </w:rPr>
  </w:style>
  <w:style w:type="paragraph" w:customStyle="1" w:styleId="14">
    <w:name w:val="列出段落1"/>
    <w:basedOn w:val="1"/>
    <w:autoRedefine/>
    <w:qFormat/>
    <w:uiPriority w:val="99"/>
    <w:pPr>
      <w:ind w:firstLine="420" w:firstLineChars="200"/>
    </w:pPr>
  </w:style>
  <w:style w:type="paragraph" w:customStyle="1" w:styleId="15">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7686</Words>
  <Characters>8040</Characters>
  <Lines>0</Lines>
  <Paragraphs>0</Paragraphs>
  <TotalTime>0</TotalTime>
  <ScaleCrop>false</ScaleCrop>
  <LinksUpToDate>false</LinksUpToDate>
  <CharactersWithSpaces>8973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2024-01-26T00:57:51Z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3505A2AB25E048A4A9B0E6A6741CA1BA_11</vt:lpwstr>
  </property>
</Properties>
</file>