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（电动床医院公开挂网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电动床</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电动床</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8"/>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电动床</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numPr>
          <w:ilvl w:val="0"/>
          <w:numId w:val="2"/>
        </w:num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电动床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1、规格尺寸 ≥L2160*W970*H500mm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2、功能参数：背部升降：0～75°±5°，腿部升降：0～50°±5°整体升降：470-750mm±5mm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3、性能参数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3.1配备3个进口专业医用超静音马达及一套电控系统，具有超静音、恒速、抗电磁、抗干扰等功能。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3.2床尾配备护士触摸屏遥控面板，可以对患者使用的手控器进行任意功能的锁定；床头配备患者使用手控器，方便患者自行调节整床的各项功能。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3.3具有“CPR一键展平”功能键，可使床体在任意角度下快速恢复至初始状态，为医护人员进行CPR急救赢得宝贵时间。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3.4床面板采用≥1.0mm厚碳钢板一次模压成型汽车钣金工艺，背部面板(1#) ≥L850w*760mm;臀部面板(2#):≥L850*W200mm;臀部面板(3#)L8≥50*W32mm0;腿部面板(4#) ≥L850*W540mm,多气孔设计，便于透气，背部特别添加“日”字形钢管加固结构，使得承重能力大大提高，整板受力均衡，抗压力强，永不变形。经具有MA ilac MRA  CNAS中国认可国际互认检测机构（提供床面板模压成型及尺寸第三方检测机构报告佐证）。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3.5床框采用30*60*≥2.0㎜矩型钢管，床头尾板横梁管60*60*≥1.8㎜钢板，床体焊接质量坚实牢固，经具有MA ilac MRA  CNAS中国认可国际互认检测机构(提供第三方厚度检测报告)床体四角装置四个防撞轮，防止移动病床时碰撞墙壁而造成损伤。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3.6护栏技术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3.6.1护栏横管采用抗菌铝合金材质+弯管结构，采用加厚≥2.00mmD型铝合金材质，护栏开关手柄采用铸铝一次合成，长度≥175mm，超大手柄设计可容纳4指操作受力均匀，护栏横管经黑曲霉ATCC 6275球毛壳霉ATCC 6205绳状青霉CGMCC3.3875长枝木霉ATCC 13631宛氏拟青霉CGMCC3.4253测试；经大肠杆菌ATCC 25922金黄色葡萄球菌ATCC 6538测试（ 提供护栏铸铝手柄工艺图片，提供护栏横管第三方检测机构抗菌、防霉检测报告）。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3.6.2竖管采用 6支经硬化处理的长度≥1450*高度≥41cm*直径≥19mm*1.5mm厚的管材进行弯管，床梁直接连接6支竖管，杜绝藏污纳垢；连接护栏上支座为含金属件注塑 ，护栏设有6个护栏注塑座扣，护栏具有防夹手功能（提供护栏管第三方检测机构证明，护栏座金属含件注塑切开面1个，提供护栏工艺图片）。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床头尾板：采用全新工程PP材料一次成型，床头板中心颜色采用ABS扣板设计，避免传统贴纸工艺脱胶脱色，内置4个圆钢直径¢16mm*2.0内置固定插式结构，暗藏ABS锁定开关，更牢固结实；镶嵌4个直径≥Φ90mmABS防撞轮，颜色与与床头板贴纸一置，床头板拆卸方便可兼做CPR急救功能（提供床头板样工艺图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3.8中控脚轮：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3.8.1中控刹车采用“T”型喷砂氧化航空铝材质脚踏板，彻底杜绝了传统的“U”型刹车踏板带来的“踏空”风险（提供中控踏板工艺图片1 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3.8.2中控脚轮≥5寸万向轮，脚轮安装连接轴采用≧Ø28mm ，轮面静音耐磨，内置全封闭自润滑轴承经包盖保护，具有防尘防缠绕发丝等异物卷入(提供国家权威机构防缠绕第三方证明佐证）。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3.9、床体两侧共配有6个输液架插孔，可供患者输液使用；床面两侧下方具有4个ABS引流挂钩。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3.10床体金属表面采用电泳底漆+喷涂抗菌喷涂，双重喷涂处理技术，达到内外防锈，延长病床的使用寿命。涂料属于绿色健康环保产品，经大肠杆菌ATCC 25922金黄色葡萄球菌ATCC 6538 具有很强的抗菌作用（提供第三方机构抗菌检测报告）。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3.11输液架：配全不锈钢两节四爪头式铝合金“空气阻力”升降输液架，“防脱落”挂钩（提供第三方空气阻尼测报告佐证）。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3.12床垫采用80mm±10°厚高密度海绵加椰棕内胆，采用环保椰棕，无毒无甲醛，防水耐磨布外套具有防火阻燃材质，床垫大小要与床面配合（提供第三方检测床垫环保、阻燃报告佐证）。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床头柜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1、规格尺寸：≥L575×W405mm×H820mm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2性能参数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2.1.整体采用全新纯正ABS工程塑料制成，材质厚实，能承受普通人站立柜面而不变型，且坚固、稳定。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2.2.欧式设计风格，“整合一体式”、扶手框采用加厚加宽铝板，兼具推手及毛巾架功能；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2.3.并具有防潮防水、易清洁、可冲洗、不生锈等特点，适用于医院经常消毒清洁的工作环境，整体美观大方。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2.4.床头柜配备水壶座（可做隐藏式）、拉板（托物板）、抽屉、柜门， 隐藏式杂物挂钩4个，整体结构设计实用方便。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2.5</w:t>
      </w:r>
      <w:r>
        <w:rPr>
          <w:rFonts w:hint="eastAsia" w:asciiTheme="minorEastAsia" w:hAnsiTheme="minorEastAsia" w:eastAsiaTheme="minorEastAsia" w:cstheme="minorEastAsia"/>
          <w:b w:val="0"/>
          <w:bCs/>
          <w:color w:val="auto"/>
          <w:kern w:val="0"/>
          <w:sz w:val="24"/>
          <w:szCs w:val="24"/>
          <w:lang w:val="en-US" w:eastAsia="zh-CN" w:bidi="ar-SA"/>
        </w:rPr>
        <w:t>.</w:t>
      </w:r>
      <w:r>
        <w:rPr>
          <w:rFonts w:hint="default" w:asciiTheme="minorEastAsia" w:hAnsiTheme="minorEastAsia" w:eastAsiaTheme="minorEastAsia" w:cstheme="minorEastAsia"/>
          <w:b w:val="0"/>
          <w:bCs/>
          <w:color w:val="auto"/>
          <w:kern w:val="0"/>
          <w:sz w:val="24"/>
          <w:szCs w:val="24"/>
          <w:lang w:val="en-US" w:eastAsia="zh-CN" w:bidi="ar-SA"/>
        </w:rPr>
        <w:t>床头柜抽屉颜与病床床拼颜色相匹配。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2.6.优质静音轮，结实耐用、运行稳定。</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配置清单(单套）：</w:t>
      </w:r>
    </w:p>
    <w:tbl>
      <w:tblPr>
        <w:tblStyle w:val="9"/>
        <w:tblpPr w:leftFromText="180" w:rightFromText="180" w:vertAnchor="text" w:horzAnchor="page" w:tblpX="1513" w:tblpY="386"/>
        <w:tblOverlap w:val="never"/>
        <w:tblW w:w="9181"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3392"/>
        <w:gridCol w:w="1620"/>
        <w:gridCol w:w="205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16" w:type="dxa"/>
            <w:noWrap w:val="0"/>
            <w:vAlign w:val="center"/>
          </w:tcPr>
          <w:p>
            <w:pPr>
              <w:jc w:val="center"/>
              <w:rPr>
                <w:rFonts w:hint="eastAsia" w:ascii="宋体" w:hAnsi="宋体"/>
                <w:sz w:val="24"/>
              </w:rPr>
            </w:pPr>
            <w:r>
              <w:rPr>
                <w:rFonts w:hint="eastAsia" w:ascii="宋体" w:hAnsi="宋体"/>
                <w:sz w:val="24"/>
              </w:rPr>
              <w:t>序号</w:t>
            </w:r>
          </w:p>
        </w:tc>
        <w:tc>
          <w:tcPr>
            <w:tcW w:w="3392" w:type="dxa"/>
            <w:noWrap w:val="0"/>
            <w:vAlign w:val="center"/>
          </w:tcPr>
          <w:p>
            <w:pPr>
              <w:jc w:val="center"/>
              <w:rPr>
                <w:rFonts w:hint="eastAsia" w:ascii="宋体" w:hAnsi="宋体"/>
                <w:sz w:val="24"/>
              </w:rPr>
            </w:pPr>
            <w:r>
              <w:rPr>
                <w:rFonts w:hint="eastAsia" w:ascii="宋体" w:hAnsi="宋体"/>
                <w:sz w:val="24"/>
              </w:rPr>
              <w:t>配件名称</w:t>
            </w:r>
          </w:p>
        </w:tc>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单 位</w:t>
            </w:r>
          </w:p>
        </w:tc>
        <w:tc>
          <w:tcPr>
            <w:tcW w:w="2053"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16" w:type="dxa"/>
            <w:noWrap w:val="0"/>
            <w:vAlign w:val="center"/>
          </w:tcPr>
          <w:p>
            <w:pPr>
              <w:jc w:val="center"/>
              <w:rPr>
                <w:rFonts w:hint="eastAsia" w:ascii="宋体" w:hAnsi="宋体"/>
                <w:sz w:val="24"/>
              </w:rPr>
            </w:pPr>
            <w:r>
              <w:rPr>
                <w:rFonts w:hint="eastAsia" w:ascii="宋体" w:hAnsi="宋体"/>
                <w:sz w:val="24"/>
              </w:rPr>
              <w:t>1</w:t>
            </w:r>
          </w:p>
        </w:tc>
        <w:tc>
          <w:tcPr>
            <w:tcW w:w="3392" w:type="dxa"/>
            <w:noWrap w:val="0"/>
            <w:vAlign w:val="center"/>
          </w:tcPr>
          <w:p>
            <w:pPr>
              <w:rPr>
                <w:rFonts w:hint="eastAsia" w:ascii="宋体" w:hAnsi="宋体"/>
                <w:sz w:val="24"/>
              </w:rPr>
            </w:pPr>
            <w:r>
              <w:rPr>
                <w:rFonts w:hint="eastAsia" w:ascii="宋体" w:hAnsi="宋体"/>
                <w:sz w:val="24"/>
              </w:rPr>
              <w:t>床体</w:t>
            </w:r>
          </w:p>
        </w:tc>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张</w:t>
            </w:r>
          </w:p>
        </w:tc>
        <w:tc>
          <w:tcPr>
            <w:tcW w:w="2053"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hint="eastAsia" w:ascii="宋体" w:hAnsi="宋体"/>
                <w:sz w:val="24"/>
              </w:rPr>
            </w:pPr>
            <w:r>
              <w:rPr>
                <w:rFonts w:hint="eastAsia" w:ascii="宋体" w:hAnsi="宋体"/>
                <w:sz w:val="24"/>
              </w:rPr>
              <w:t>2</w:t>
            </w:r>
          </w:p>
        </w:tc>
        <w:tc>
          <w:tcPr>
            <w:tcW w:w="3392" w:type="dxa"/>
            <w:noWrap w:val="0"/>
            <w:vAlign w:val="center"/>
          </w:tcPr>
          <w:p>
            <w:pPr>
              <w:rPr>
                <w:rFonts w:hint="eastAsia" w:ascii="宋体" w:hAnsi="宋体"/>
                <w:sz w:val="24"/>
              </w:rPr>
            </w:pPr>
            <w:r>
              <w:rPr>
                <w:rFonts w:hint="eastAsia" w:ascii="宋体" w:hAnsi="宋体"/>
                <w:sz w:val="24"/>
              </w:rPr>
              <w:t>铝合金+弯管护栏</w:t>
            </w:r>
          </w:p>
        </w:tc>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对</w:t>
            </w:r>
          </w:p>
        </w:tc>
        <w:tc>
          <w:tcPr>
            <w:tcW w:w="2053"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3</w:t>
            </w:r>
          </w:p>
        </w:tc>
        <w:tc>
          <w:tcPr>
            <w:tcW w:w="3392" w:type="dxa"/>
            <w:noWrap w:val="0"/>
            <w:vAlign w:val="center"/>
          </w:tcPr>
          <w:p>
            <w:pPr>
              <w:rPr>
                <w:rFonts w:hint="eastAsia" w:ascii="宋体" w:hAnsi="宋体"/>
                <w:sz w:val="24"/>
              </w:rPr>
            </w:pPr>
            <w:r>
              <w:rPr>
                <w:rFonts w:hint="eastAsia" w:ascii="宋体" w:hAnsi="宋体" w:cs="宋体"/>
                <w:color w:val="000000"/>
                <w:sz w:val="24"/>
                <w:szCs w:val="24"/>
              </w:rPr>
              <w:t>“空气阻力”</w:t>
            </w:r>
            <w:r>
              <w:rPr>
                <w:rFonts w:hint="eastAsia" w:ascii="宋体" w:hAnsi="宋体"/>
                <w:sz w:val="24"/>
              </w:rPr>
              <w:t>输液杆</w:t>
            </w:r>
          </w:p>
        </w:tc>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支</w:t>
            </w:r>
          </w:p>
        </w:tc>
        <w:tc>
          <w:tcPr>
            <w:tcW w:w="2053"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4</w:t>
            </w:r>
          </w:p>
        </w:tc>
        <w:tc>
          <w:tcPr>
            <w:tcW w:w="3392" w:type="dxa"/>
            <w:noWrap w:val="0"/>
            <w:vAlign w:val="center"/>
          </w:tcPr>
          <w:p>
            <w:pPr>
              <w:rPr>
                <w:rFonts w:ascii="宋体" w:hAnsi="宋体"/>
                <w:sz w:val="24"/>
              </w:rPr>
            </w:pPr>
            <w:r>
              <w:rPr>
                <w:rFonts w:hint="eastAsia" w:ascii="宋体" w:hAnsi="宋体"/>
                <w:sz w:val="24"/>
              </w:rPr>
              <w:t>手控器</w:t>
            </w:r>
          </w:p>
        </w:tc>
        <w:tc>
          <w:tcPr>
            <w:tcW w:w="1620" w:type="dxa"/>
            <w:tcBorders>
              <w:right w:val="single" w:color="auto" w:sz="4" w:space="0"/>
            </w:tcBorders>
            <w:noWrap w:val="0"/>
            <w:vAlign w:val="center"/>
          </w:tcPr>
          <w:p>
            <w:pPr>
              <w:jc w:val="center"/>
              <w:rPr>
                <w:rFonts w:ascii="宋体" w:hAnsi="宋体"/>
                <w:sz w:val="24"/>
              </w:rPr>
            </w:pPr>
            <w:r>
              <w:rPr>
                <w:rFonts w:hint="eastAsia" w:ascii="宋体" w:hAnsi="宋体"/>
                <w:sz w:val="24"/>
              </w:rPr>
              <w:t>个</w:t>
            </w:r>
          </w:p>
        </w:tc>
        <w:tc>
          <w:tcPr>
            <w:tcW w:w="2053" w:type="dxa"/>
            <w:tcBorders>
              <w:right w:val="single" w:color="auto" w:sz="4" w:space="0"/>
            </w:tcBorders>
            <w:noWrap w:val="0"/>
            <w:vAlign w:val="center"/>
          </w:tcPr>
          <w:p>
            <w:pPr>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5</w:t>
            </w:r>
          </w:p>
        </w:tc>
        <w:tc>
          <w:tcPr>
            <w:tcW w:w="3392" w:type="dxa"/>
            <w:noWrap w:val="0"/>
            <w:vAlign w:val="center"/>
          </w:tcPr>
          <w:p>
            <w:pPr>
              <w:rPr>
                <w:rFonts w:ascii="宋体" w:hAnsi="宋体"/>
                <w:sz w:val="24"/>
              </w:rPr>
            </w:pPr>
            <w:r>
              <w:rPr>
                <w:rFonts w:hint="eastAsia" w:ascii="宋体" w:hAnsi="宋体"/>
                <w:sz w:val="24"/>
              </w:rPr>
              <w:t>电机</w:t>
            </w:r>
          </w:p>
        </w:tc>
        <w:tc>
          <w:tcPr>
            <w:tcW w:w="1620" w:type="dxa"/>
            <w:tcBorders>
              <w:right w:val="single" w:color="auto" w:sz="4" w:space="0"/>
            </w:tcBorders>
            <w:noWrap w:val="0"/>
            <w:vAlign w:val="center"/>
          </w:tcPr>
          <w:p>
            <w:pPr>
              <w:jc w:val="center"/>
              <w:rPr>
                <w:rFonts w:ascii="宋体" w:hAnsi="宋体"/>
                <w:sz w:val="24"/>
              </w:rPr>
            </w:pPr>
            <w:r>
              <w:rPr>
                <w:rFonts w:hint="eastAsia" w:ascii="宋体" w:hAnsi="宋体"/>
                <w:sz w:val="24"/>
              </w:rPr>
              <w:t>个</w:t>
            </w:r>
          </w:p>
        </w:tc>
        <w:tc>
          <w:tcPr>
            <w:tcW w:w="2053" w:type="dxa"/>
            <w:tcBorders>
              <w:right w:val="single" w:color="auto" w:sz="4" w:space="0"/>
            </w:tcBorders>
            <w:noWrap w:val="0"/>
            <w:vAlign w:val="center"/>
          </w:tcPr>
          <w:p>
            <w:pPr>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6</w:t>
            </w:r>
          </w:p>
        </w:tc>
        <w:tc>
          <w:tcPr>
            <w:tcW w:w="3392" w:type="dxa"/>
            <w:noWrap w:val="0"/>
            <w:vAlign w:val="center"/>
          </w:tcPr>
          <w:p>
            <w:pPr>
              <w:rPr>
                <w:rFonts w:ascii="宋体" w:hAnsi="宋体"/>
                <w:sz w:val="24"/>
                <w:szCs w:val="24"/>
              </w:rPr>
            </w:pPr>
            <w:r>
              <w:rPr>
                <w:rFonts w:hint="eastAsia" w:ascii="宋体" w:hAnsi="宋体"/>
                <w:sz w:val="24"/>
              </w:rPr>
              <w:t>鞋架</w:t>
            </w:r>
          </w:p>
        </w:tc>
        <w:tc>
          <w:tcPr>
            <w:tcW w:w="1620" w:type="dxa"/>
            <w:tcBorders>
              <w:right w:val="single" w:color="auto" w:sz="4" w:space="0"/>
            </w:tcBorders>
            <w:noWrap w:val="0"/>
            <w:vAlign w:val="center"/>
          </w:tcPr>
          <w:p>
            <w:pPr>
              <w:jc w:val="center"/>
              <w:rPr>
                <w:rFonts w:ascii="宋体" w:hAnsi="宋体"/>
                <w:sz w:val="24"/>
                <w:szCs w:val="24"/>
              </w:rPr>
            </w:pPr>
            <w:r>
              <w:rPr>
                <w:rFonts w:hint="eastAsia" w:ascii="宋体" w:hAnsi="宋体"/>
                <w:sz w:val="24"/>
              </w:rPr>
              <w:t>个</w:t>
            </w:r>
          </w:p>
        </w:tc>
        <w:tc>
          <w:tcPr>
            <w:tcW w:w="2053" w:type="dxa"/>
            <w:tcBorders>
              <w:right w:val="single" w:color="auto" w:sz="4" w:space="0"/>
            </w:tcBorders>
            <w:noWrap w:val="0"/>
            <w:vAlign w:val="center"/>
          </w:tcPr>
          <w:p>
            <w:pPr>
              <w:jc w:val="center"/>
              <w:rPr>
                <w:rFonts w:ascii="宋体" w:hAnsi="宋体"/>
                <w:sz w:val="24"/>
                <w:szCs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7</w:t>
            </w:r>
          </w:p>
        </w:tc>
        <w:tc>
          <w:tcPr>
            <w:tcW w:w="3392" w:type="dxa"/>
            <w:noWrap w:val="0"/>
            <w:vAlign w:val="center"/>
          </w:tcPr>
          <w:p>
            <w:pPr>
              <w:rPr>
                <w:rFonts w:ascii="宋体" w:hAnsi="宋体"/>
                <w:sz w:val="24"/>
                <w:szCs w:val="24"/>
              </w:rPr>
            </w:pPr>
            <w:r>
              <w:rPr>
                <w:rFonts w:hint="eastAsia" w:ascii="宋体" w:hAnsi="宋体"/>
                <w:sz w:val="24"/>
              </w:rPr>
              <w:t>中控脚轮</w:t>
            </w:r>
          </w:p>
        </w:tc>
        <w:tc>
          <w:tcPr>
            <w:tcW w:w="1620" w:type="dxa"/>
            <w:tcBorders>
              <w:right w:val="single" w:color="auto" w:sz="4" w:space="0"/>
            </w:tcBorders>
            <w:noWrap w:val="0"/>
            <w:vAlign w:val="center"/>
          </w:tcPr>
          <w:p>
            <w:pPr>
              <w:jc w:val="center"/>
              <w:rPr>
                <w:rFonts w:ascii="宋体" w:hAnsi="宋体"/>
                <w:sz w:val="24"/>
                <w:szCs w:val="24"/>
              </w:rPr>
            </w:pPr>
            <w:r>
              <w:rPr>
                <w:rFonts w:hint="eastAsia" w:ascii="宋体" w:hAnsi="宋体"/>
                <w:sz w:val="24"/>
              </w:rPr>
              <w:t>个</w:t>
            </w:r>
          </w:p>
        </w:tc>
        <w:tc>
          <w:tcPr>
            <w:tcW w:w="2053" w:type="dxa"/>
            <w:tcBorders>
              <w:right w:val="single" w:color="auto" w:sz="4" w:space="0"/>
            </w:tcBorders>
            <w:noWrap w:val="0"/>
            <w:vAlign w:val="center"/>
          </w:tcPr>
          <w:p>
            <w:pPr>
              <w:jc w:val="center"/>
              <w:rPr>
                <w:rFonts w:ascii="宋体" w:hAnsi="宋体"/>
                <w:sz w:val="24"/>
                <w:szCs w:val="24"/>
              </w:rPr>
            </w:pPr>
            <w:r>
              <w:rPr>
                <w:rFonts w:hint="eastAsia" w:ascii="宋体" w:hAnsi="宋体"/>
                <w:sz w:val="24"/>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8</w:t>
            </w:r>
          </w:p>
        </w:tc>
        <w:tc>
          <w:tcPr>
            <w:tcW w:w="3392" w:type="dxa"/>
            <w:noWrap w:val="0"/>
            <w:vAlign w:val="center"/>
          </w:tcPr>
          <w:p>
            <w:pPr>
              <w:rPr>
                <w:rFonts w:hint="eastAsia" w:ascii="宋体" w:hAnsi="宋体"/>
                <w:sz w:val="24"/>
                <w:szCs w:val="24"/>
              </w:rPr>
            </w:pPr>
            <w:r>
              <w:rPr>
                <w:rFonts w:hint="eastAsia" w:ascii="宋体" w:hAnsi="宋体"/>
                <w:sz w:val="24"/>
              </w:rPr>
              <w:t>床头板</w:t>
            </w:r>
          </w:p>
        </w:tc>
        <w:tc>
          <w:tcPr>
            <w:tcW w:w="1620" w:type="dxa"/>
            <w:tcBorders>
              <w:right w:val="single" w:color="auto" w:sz="4" w:space="0"/>
            </w:tcBorders>
            <w:noWrap w:val="0"/>
            <w:vAlign w:val="center"/>
          </w:tcPr>
          <w:p>
            <w:pPr>
              <w:jc w:val="center"/>
              <w:rPr>
                <w:rFonts w:ascii="宋体" w:hAnsi="宋体"/>
                <w:sz w:val="24"/>
                <w:szCs w:val="24"/>
              </w:rPr>
            </w:pPr>
            <w:r>
              <w:rPr>
                <w:rFonts w:hint="eastAsia" w:ascii="宋体" w:hAnsi="宋体"/>
                <w:sz w:val="24"/>
                <w:szCs w:val="24"/>
              </w:rPr>
              <w:t>对</w:t>
            </w:r>
          </w:p>
        </w:tc>
        <w:tc>
          <w:tcPr>
            <w:tcW w:w="2053" w:type="dxa"/>
            <w:tcBorders>
              <w:right w:val="single" w:color="auto" w:sz="4" w:space="0"/>
            </w:tcBorders>
            <w:noWrap w:val="0"/>
            <w:vAlign w:val="center"/>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9</w:t>
            </w:r>
          </w:p>
        </w:tc>
        <w:tc>
          <w:tcPr>
            <w:tcW w:w="3392" w:type="dxa"/>
            <w:noWrap w:val="0"/>
            <w:vAlign w:val="center"/>
          </w:tcPr>
          <w:p>
            <w:pPr>
              <w:rPr>
                <w:rFonts w:hint="eastAsia" w:ascii="宋体" w:hAnsi="宋体"/>
                <w:sz w:val="24"/>
                <w:szCs w:val="24"/>
              </w:rPr>
            </w:pPr>
            <w:r>
              <w:rPr>
                <w:rFonts w:hint="eastAsia" w:ascii="宋体" w:hAnsi="宋体"/>
                <w:sz w:val="24"/>
              </w:rPr>
              <w:t>伸缩餐板</w:t>
            </w:r>
          </w:p>
        </w:tc>
        <w:tc>
          <w:tcPr>
            <w:tcW w:w="1620" w:type="dxa"/>
            <w:tcBorders>
              <w:right w:val="single" w:color="auto" w:sz="4" w:space="0"/>
            </w:tcBorders>
            <w:noWrap w:val="0"/>
            <w:vAlign w:val="center"/>
          </w:tcPr>
          <w:p>
            <w:pPr>
              <w:jc w:val="center"/>
              <w:rPr>
                <w:rFonts w:ascii="宋体" w:hAnsi="宋体"/>
                <w:sz w:val="24"/>
                <w:szCs w:val="24"/>
              </w:rPr>
            </w:pPr>
            <w:r>
              <w:rPr>
                <w:rFonts w:hint="eastAsia" w:ascii="宋体" w:hAnsi="宋体"/>
                <w:sz w:val="24"/>
              </w:rPr>
              <w:t>块</w:t>
            </w:r>
          </w:p>
        </w:tc>
        <w:tc>
          <w:tcPr>
            <w:tcW w:w="2053" w:type="dxa"/>
            <w:tcBorders>
              <w:right w:val="single" w:color="auto" w:sz="4" w:space="0"/>
            </w:tcBorders>
            <w:noWrap w:val="0"/>
            <w:vAlign w:val="center"/>
          </w:tcPr>
          <w:p>
            <w:pPr>
              <w:jc w:val="center"/>
              <w:rPr>
                <w:rFonts w:ascii="宋体" w:hAnsi="宋体"/>
                <w:sz w:val="24"/>
                <w:szCs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10</w:t>
            </w:r>
          </w:p>
        </w:tc>
        <w:tc>
          <w:tcPr>
            <w:tcW w:w="3392" w:type="dxa"/>
            <w:noWrap w:val="0"/>
            <w:vAlign w:val="center"/>
          </w:tcPr>
          <w:p>
            <w:pPr>
              <w:rPr>
                <w:rFonts w:ascii="宋体" w:hAnsi="宋体"/>
                <w:sz w:val="24"/>
              </w:rPr>
            </w:pPr>
            <w:r>
              <w:rPr>
                <w:rFonts w:hint="eastAsia" w:ascii="宋体" w:hAnsi="宋体"/>
                <w:sz w:val="24"/>
              </w:rPr>
              <w:t>ABS引流挂钩</w:t>
            </w:r>
          </w:p>
        </w:tc>
        <w:tc>
          <w:tcPr>
            <w:tcW w:w="1620" w:type="dxa"/>
            <w:tcBorders>
              <w:right w:val="single" w:color="auto" w:sz="4" w:space="0"/>
            </w:tcBorders>
            <w:noWrap w:val="0"/>
            <w:vAlign w:val="center"/>
          </w:tcPr>
          <w:p>
            <w:pPr>
              <w:jc w:val="center"/>
              <w:rPr>
                <w:rFonts w:ascii="宋体" w:hAnsi="宋体"/>
                <w:sz w:val="24"/>
              </w:rPr>
            </w:pPr>
            <w:r>
              <w:rPr>
                <w:rFonts w:hint="eastAsia" w:ascii="宋体" w:hAnsi="宋体"/>
                <w:sz w:val="24"/>
              </w:rPr>
              <w:t>个</w:t>
            </w:r>
          </w:p>
        </w:tc>
        <w:tc>
          <w:tcPr>
            <w:tcW w:w="2053" w:type="dxa"/>
            <w:tcBorders>
              <w:right w:val="single" w:color="auto" w:sz="4" w:space="0"/>
            </w:tcBorders>
            <w:noWrap w:val="0"/>
            <w:vAlign w:val="center"/>
          </w:tcPr>
          <w:p>
            <w:pPr>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11</w:t>
            </w:r>
          </w:p>
        </w:tc>
        <w:tc>
          <w:tcPr>
            <w:tcW w:w="3392" w:type="dxa"/>
            <w:noWrap w:val="0"/>
            <w:vAlign w:val="center"/>
          </w:tcPr>
          <w:p>
            <w:pPr>
              <w:rPr>
                <w:rFonts w:ascii="宋体" w:hAnsi="宋体"/>
                <w:sz w:val="24"/>
              </w:rPr>
            </w:pPr>
            <w:r>
              <w:rPr>
                <w:rFonts w:hint="eastAsia" w:ascii="宋体" w:hAnsi="宋体"/>
                <w:sz w:val="24"/>
              </w:rPr>
              <w:t>床垫</w:t>
            </w:r>
          </w:p>
        </w:tc>
        <w:tc>
          <w:tcPr>
            <w:tcW w:w="1620" w:type="dxa"/>
            <w:tcBorders>
              <w:right w:val="single" w:color="auto" w:sz="4" w:space="0"/>
            </w:tcBorders>
            <w:noWrap w:val="0"/>
            <w:vAlign w:val="center"/>
          </w:tcPr>
          <w:p>
            <w:pPr>
              <w:jc w:val="center"/>
              <w:rPr>
                <w:rFonts w:ascii="宋体" w:hAnsi="宋体"/>
                <w:sz w:val="24"/>
              </w:rPr>
            </w:pPr>
            <w:r>
              <w:rPr>
                <w:rFonts w:hint="eastAsia" w:ascii="宋体" w:hAnsi="宋体"/>
                <w:sz w:val="24"/>
              </w:rPr>
              <w:t>张</w:t>
            </w:r>
          </w:p>
        </w:tc>
        <w:tc>
          <w:tcPr>
            <w:tcW w:w="2053" w:type="dxa"/>
            <w:tcBorders>
              <w:right w:val="single" w:color="auto" w:sz="4" w:space="0"/>
            </w:tcBorders>
            <w:noWrap w:val="0"/>
            <w:vAlign w:val="center"/>
          </w:tcPr>
          <w:p>
            <w:pPr>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rPr>
            </w:pPr>
            <w:r>
              <w:rPr>
                <w:rFonts w:hint="eastAsia" w:ascii="宋体" w:hAnsi="宋体"/>
                <w:sz w:val="24"/>
              </w:rPr>
              <w:t>12</w:t>
            </w:r>
          </w:p>
        </w:tc>
        <w:tc>
          <w:tcPr>
            <w:tcW w:w="3392" w:type="dxa"/>
            <w:noWrap w:val="0"/>
            <w:vAlign w:val="center"/>
          </w:tcPr>
          <w:p>
            <w:pPr>
              <w:rPr>
                <w:rFonts w:ascii="宋体" w:hAnsi="宋体"/>
                <w:sz w:val="24"/>
              </w:rPr>
            </w:pPr>
            <w:r>
              <w:rPr>
                <w:rFonts w:hint="eastAsia" w:ascii="宋体" w:hAnsi="宋体"/>
                <w:sz w:val="24"/>
              </w:rPr>
              <w:t>床头柜</w:t>
            </w:r>
          </w:p>
        </w:tc>
        <w:tc>
          <w:tcPr>
            <w:tcW w:w="1620" w:type="dxa"/>
            <w:tcBorders>
              <w:right w:val="single" w:color="auto" w:sz="4" w:space="0"/>
            </w:tcBorders>
            <w:noWrap w:val="0"/>
            <w:vAlign w:val="center"/>
          </w:tcPr>
          <w:p>
            <w:pPr>
              <w:jc w:val="center"/>
              <w:rPr>
                <w:rFonts w:ascii="宋体" w:hAnsi="宋体"/>
                <w:sz w:val="24"/>
              </w:rPr>
            </w:pPr>
            <w:r>
              <w:rPr>
                <w:rFonts w:hint="eastAsia" w:ascii="宋体" w:hAnsi="宋体"/>
                <w:sz w:val="24"/>
              </w:rPr>
              <w:t>个</w:t>
            </w:r>
          </w:p>
        </w:tc>
        <w:tc>
          <w:tcPr>
            <w:tcW w:w="2053" w:type="dxa"/>
            <w:tcBorders>
              <w:right w:val="single" w:color="auto" w:sz="4" w:space="0"/>
            </w:tcBorders>
            <w:noWrap w:val="0"/>
            <w:vAlign w:val="center"/>
          </w:tcPr>
          <w:p>
            <w:pPr>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13</w:t>
            </w:r>
          </w:p>
        </w:tc>
        <w:tc>
          <w:tcPr>
            <w:tcW w:w="3392" w:type="dxa"/>
            <w:noWrap w:val="0"/>
            <w:vAlign w:val="center"/>
          </w:tcPr>
          <w:p>
            <w:pPr>
              <w:rPr>
                <w:rFonts w:hint="eastAsia" w:ascii="宋体" w:hAnsi="宋体" w:eastAsia="宋体"/>
                <w:sz w:val="24"/>
                <w:lang w:val="en-US" w:eastAsia="zh-CN"/>
              </w:rPr>
            </w:pPr>
            <w:r>
              <w:rPr>
                <w:rFonts w:hint="eastAsia" w:ascii="宋体" w:hAnsi="宋体"/>
                <w:sz w:val="24"/>
                <w:lang w:val="en-US" w:eastAsia="zh-CN"/>
              </w:rPr>
              <w:t>输液杆</w:t>
            </w:r>
          </w:p>
        </w:tc>
        <w:tc>
          <w:tcPr>
            <w:tcW w:w="1620" w:type="dxa"/>
            <w:tcBorders>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支</w:t>
            </w:r>
          </w:p>
        </w:tc>
        <w:tc>
          <w:tcPr>
            <w:tcW w:w="2053" w:type="dxa"/>
            <w:tcBorders>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14</w:t>
            </w:r>
          </w:p>
        </w:tc>
        <w:tc>
          <w:tcPr>
            <w:tcW w:w="3392" w:type="dxa"/>
            <w:noWrap w:val="0"/>
            <w:vAlign w:val="center"/>
          </w:tcPr>
          <w:p>
            <w:pPr>
              <w:rPr>
                <w:rFonts w:hint="default" w:ascii="宋体" w:hAnsi="宋体" w:eastAsia="宋体"/>
                <w:sz w:val="24"/>
                <w:lang w:val="en-US" w:eastAsia="zh-CN"/>
              </w:rPr>
            </w:pPr>
            <w:r>
              <w:rPr>
                <w:rFonts w:hint="eastAsia" w:ascii="宋体" w:hAnsi="宋体"/>
                <w:sz w:val="24"/>
                <w:lang w:val="en-US" w:eastAsia="zh-CN"/>
              </w:rPr>
              <w:t>杂物架</w:t>
            </w:r>
          </w:p>
        </w:tc>
        <w:tc>
          <w:tcPr>
            <w:tcW w:w="1620" w:type="dxa"/>
            <w:tcBorders>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个</w:t>
            </w:r>
          </w:p>
        </w:tc>
        <w:tc>
          <w:tcPr>
            <w:tcW w:w="2053" w:type="dxa"/>
            <w:tcBorders>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w:t>
            </w:r>
          </w:p>
        </w:tc>
      </w:tr>
    </w:tbl>
    <w:p>
      <w:pPr>
        <w:rPr>
          <w:rFonts w:hint="default"/>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PT训练床等一批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PT训练床等一批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电动床</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sz w:val="28"/>
                <w:szCs w:val="28"/>
                <w:lang w:val="en-US" w:eastAsia="zh-CN"/>
              </w:rPr>
              <w:t>20</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叁</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spacing w:line="480" w:lineRule="exact"/>
        <w:rPr>
          <w:rFonts w:ascii="宋体" w:hAnsi="宋体" w:eastAsia="宋体" w:cs="宋体"/>
          <w:sz w:val="24"/>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48D6"/>
    <w:multiLevelType w:val="singleLevel"/>
    <w:tmpl w:val="937A48D6"/>
    <w:lvl w:ilvl="0" w:tentative="0">
      <w:start w:val="1"/>
      <w:numFmt w:val="chineseCounting"/>
      <w:suff w:val="nothing"/>
      <w:lvlText w:val="%1、"/>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0A12BB8"/>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5F7EDE"/>
    <w:rsid w:val="272B6E6C"/>
    <w:rsid w:val="27CB1722"/>
    <w:rsid w:val="27CF2BB7"/>
    <w:rsid w:val="28E81B29"/>
    <w:rsid w:val="29B45A41"/>
    <w:rsid w:val="2AB01371"/>
    <w:rsid w:val="2C0A2E19"/>
    <w:rsid w:val="2C7642D0"/>
    <w:rsid w:val="2DD77C64"/>
    <w:rsid w:val="2DDA1E78"/>
    <w:rsid w:val="2DE00B8C"/>
    <w:rsid w:val="2EAC037F"/>
    <w:rsid w:val="2EB67A5C"/>
    <w:rsid w:val="302741D2"/>
    <w:rsid w:val="308B184D"/>
    <w:rsid w:val="33384C93"/>
    <w:rsid w:val="340F06E9"/>
    <w:rsid w:val="372F7378"/>
    <w:rsid w:val="394E4CF2"/>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83A4BD7"/>
    <w:rsid w:val="590275C7"/>
    <w:rsid w:val="59C74B1F"/>
    <w:rsid w:val="611B6B1B"/>
    <w:rsid w:val="62C222C2"/>
    <w:rsid w:val="64133D6A"/>
    <w:rsid w:val="678E4F5D"/>
    <w:rsid w:val="680E122C"/>
    <w:rsid w:val="6C3E0CBE"/>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8483</Words>
  <Characters>9082</Characters>
  <Lines>0</Lines>
  <Paragraphs>0</Paragraphs>
  <TotalTime>0</TotalTime>
  <ScaleCrop>false</ScaleCrop>
  <LinksUpToDate>false</LinksUpToDate>
  <CharactersWithSpaces>10030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2024-06-03T01:12:11Z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