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（上颌窦内提升工具盒等一批医院公开挂网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上颌窦内提升工具盒等一批</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上颌窦内提升工具盒等一批</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8"/>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625"/>
        <w:gridCol w:w="1590"/>
        <w:gridCol w:w="213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上颌窦内提升工具盒</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上颌窦外提升工具盒</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0.33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自体骨取骨工具盒</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0.112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笔试光固化机</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5台</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根管牙周全能王</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0.498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5173"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合计</w:t>
            </w:r>
          </w:p>
        </w:tc>
        <w:tc>
          <w:tcPr>
            <w:tcW w:w="213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（一）上颌窦内提升工具盒（1套）</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1.提升水管≥1个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2.深度测量仪≥1个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3.骨粉输送头≥1个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4.骨粉输送器≥1个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5.骨粉挤压器≥1个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6.液压提升上颌窦粘膜工具∅2.8-∅4.1CAS钻扩孔</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7.上颌窦手术时可形成圆锥形骨盖，可安全提升粘膜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8.在低速~高速中拥有良好的切割力，在低速模式下可以采取自体骨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9.配置止动环的结构</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10.与种植体类型是否为柱形或锥形无关可根据骨质选择最终钻的直径</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11.转速：≥400-800rpm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12.止动环上有数字显示：连接钻或器械时前端突出的长度</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13.按照颜色区分长度及型号</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14.钻及止动环的使用次数；≥50次</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w:t>
      </w:r>
      <w:r>
        <w:rPr>
          <w:rFonts w:hint="eastAsia" w:asciiTheme="minorEastAsia" w:hAnsiTheme="minorEastAsia" w:eastAsiaTheme="minorEastAsia" w:cstheme="minorEastAsia"/>
          <w:bCs/>
          <w:color w:val="FF0000"/>
          <w:kern w:val="0"/>
          <w:sz w:val="24"/>
          <w:szCs w:val="24"/>
          <w:lang w:val="en-US" w:eastAsia="zh-CN" w:bidi="ar-SA"/>
        </w:rPr>
        <w:t>SNBCH30:∅3.1/∅3.3CAS钻扩孔后使用</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16. </w:t>
      </w:r>
      <w:r>
        <w:rPr>
          <w:rFonts w:hint="eastAsia" w:asciiTheme="minorEastAsia" w:hAnsiTheme="minorEastAsia" w:eastAsiaTheme="minorEastAsia" w:cstheme="minorEastAsia"/>
          <w:bCs/>
          <w:color w:val="FF0000"/>
          <w:kern w:val="0"/>
          <w:sz w:val="24"/>
          <w:szCs w:val="24"/>
          <w:lang w:val="en-US" w:eastAsia="zh-CN" w:bidi="ar-SA"/>
        </w:rPr>
        <w:t>SNBCH35:∅3.6/∅3.8/∅4.1CAS钻扩孔后使用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17.骨粉放置标记线后端，然后使用骨粉挤压器将骨粉分批反复填充完毕</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18.骨粉最大填充量≥0.15cc</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19.骨粉填充至上颌窦内部使用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20.定位钻可标记植体植入位置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21.定位钻侧面有切割刃，拔牙及侧骨壁切削时使用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22.定位钻尖端2mm处有标记线</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23.麻花钻扩孔时保留剩余骨高度≥1mm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24.麻花钻配止环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25.麻花钻转尖：≥0.6mm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26.骨粉扩散器可连接种植机后扩散骨粉</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27.骨粉扩散器可连接止动环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（二）上颌窦外提升工具盒（1套）</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1、工具盒1个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2、自停套 钻孔深度≥8mm 高度≥10.6mm 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3、自停套 钻孔深度≥6mm 高度≥12.6mm 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4、自停套 钻孔深度≥4mm 高度≥14.6mm 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5、自停套 钻孔深度≥4mm 高度≥16mm  1个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6、上颌度外提升工具≥4个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7、手术用钻≥6个</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（三）自体骨取骨工具盒（1套）</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w:t>
      </w:r>
      <w:r>
        <w:rPr>
          <w:rFonts w:hint="eastAsia" w:asciiTheme="minorEastAsia" w:hAnsiTheme="minorEastAsia" w:eastAsiaTheme="minorEastAsia" w:cstheme="minorEastAsia"/>
          <w:bCs/>
          <w:color w:val="FF0000"/>
          <w:kern w:val="0"/>
          <w:sz w:val="24"/>
          <w:szCs w:val="24"/>
          <w:lang w:val="en-US" w:eastAsia="zh-CN" w:bidi="ar-SA"/>
        </w:rPr>
        <w:t>自研磨型III型 1号，≥φ3.0*34mm ，带弹簧装置带外罩。</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2、自研磨型III型 2号，≥φ4.0*34 mm，带弹簧装置带外罩。</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3、自研磨型III型 3号，≥φ5.0*34mm ，带弹簧装置带外罩。</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4、自研磨型III型 4号，≥φ6.0*34mm，带弹簧装置带外罩。</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 材料为T08/T04。其硬度为48HRC—62HRC。应有良好的耐腐蚀性能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6、带弹簧装置带外罩，取骨钻表面应光滑、刃口锋利无缺损，周边无毛刺。</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7、可用于口腔种植手术过程中，制备与所用型号种植体相匹配的种植窝洞。</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8、头部优化设计，磨出的骨组织细腻均匀，无尖锐颗粒</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9、骨组织收集在车针空腔中，不易散落，便于医生收集</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10、取出的骨组织已混合血液，无需混合生理盐水即可使用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11、车针定位准确，不会打滑</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（四）笔试光固化机（5台）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1.设备光强输出波长为≥385nm-515nm，可聚合绝大部分牙科光固化材料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2.可输出四挡光强：</w:t>
      </w:r>
      <w:r>
        <w:rPr>
          <w:rFonts w:hint="eastAsia" w:asciiTheme="minorEastAsia" w:hAnsiTheme="minorEastAsia" w:eastAsiaTheme="minorEastAsia" w:cstheme="minorEastAsia"/>
          <w:bCs/>
          <w:color w:val="FF0000"/>
          <w:kern w:val="0"/>
          <w:sz w:val="24"/>
          <w:szCs w:val="24"/>
          <w:lang w:val="en-US" w:eastAsia="zh-CN" w:bidi="ar-SA"/>
        </w:rPr>
        <w:t>≥2300mW/cm²、1500mW～2300mW/cm²、1000mW～1500mW/cm²、600 mW～1000mW/cm²</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分别适用于极速固化、大块树脂深度固化、软启动和脉冲模式下有效固化防止树脂材料的应力收缩和龋齿检测，四挡光强皆可供医生自行设置固化时间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 强大动力支持：搭载≥1600mAh大容量电池，可支持≥1200次 3秒固化</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4.光强可视：搭载OLED屏幕，清晰显示模式、光强、固化时间及主机电量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5.内置有6 种工作模式，分别为高效模式（M0，M1，M2） 软启动模式（RAMP）， 脉冲模式（PULSE），龋齿检测模式（Detect）。</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  ≥9mm厚超薄机头，轻松抵达后牙，保证近平行光输出</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 360°可旋转机头，轻松照射整个口腔</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8.机头一体化，坚固耐摔，光强由机头直接输出，减少光衰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9.机头装置直径≥9.5mm的凸透镜，具有聚光作用，光学有效面积达≥70.8m㎡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 蓝紫双色光：四灯珠分别为三颗蓝色 LED 灯，一颗紫色 LED 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11.  尺寸：≥22 厘米 x 11 厘米 x 8 厘米±1 厘米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 内部电池：锂电池：DC 3.7V，1600mAh，±10%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 适配器输入：单相，AC 220 V，±10%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  适配器输出：5V 1A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  额定频率：50Hz，±1Hz</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 输入功率：≥0.4A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（五）根管牙周全能王（1台）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1.自动供水模式下可以使用双氧水、次氯酸钠、洗必泰等专用药液，提高临床治疗效果。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2.采用全自动频率跟踪系统，工作时，实时反馈工作尖负载，实现实时频率跟踪，保持在最佳工作状态，机器性能更稳定。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3工作过程采用微电脑全自动控制，操作方便简洁，效率高。</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4.根据工况实时调整输出功率，保证功率输出稳定、高效。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5.接插式手柄，带LED灯，操作视野清晰。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6.手柄能耐≥134℃高温和≥0.22Mpa高压消毒。</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7.小巧机身，不占空间，双水路选择（外接水/水瓶供水），适配更多工作场景。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 拥有清洁模式。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9.电源输入：AC220V-240V  50Hz    输入功率：15VA~50VA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10.输出的尖端主振动偏移：1um~90um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11.输出的尖端振动频率：28kHz±3kHz</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12.输出的半偏移力：0.1N～2N</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13.尖端输出功率：3W～20W</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14.主机保险：T0.5AL250V</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15.进水压力:0.1bar~5bar(0.01MPA~0.5MPA)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16.运行模式：连续运行</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上颌窦内提升工具盒等一批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上颌窦内提升工具盒等一批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上颌窦内提升工具盒等一批</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A8118B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3C24C6"/>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89F53A5"/>
    <w:rsid w:val="59C74B1F"/>
    <w:rsid w:val="611B6B1B"/>
    <w:rsid w:val="62C222C2"/>
    <w:rsid w:val="632D7C40"/>
    <w:rsid w:val="64133D6A"/>
    <w:rsid w:val="678E4F5D"/>
    <w:rsid w:val="680E122C"/>
    <w:rsid w:val="69301670"/>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84A1AFF"/>
    <w:rsid w:val="7937603E"/>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font21"/>
    <w:basedOn w:val="10"/>
    <w:qFormat/>
    <w:uiPriority w:val="0"/>
    <w:rPr>
      <w:rFonts w:hint="default" w:ascii="Arial" w:hAnsi="Arial" w:cs="Arial"/>
      <w:color w:val="000000"/>
      <w:sz w:val="20"/>
      <w:szCs w:val="20"/>
      <w:u w:val="none"/>
    </w:rPr>
  </w:style>
  <w:style w:type="character" w:customStyle="1" w:styleId="18">
    <w:name w:val="font41"/>
    <w:basedOn w:val="10"/>
    <w:uiPriority w:val="0"/>
    <w:rPr>
      <w:rFonts w:hint="eastAsia" w:ascii="宋体" w:hAnsi="宋体" w:eastAsia="宋体" w:cs="宋体"/>
      <w:color w:val="000000"/>
      <w:sz w:val="20"/>
      <w:szCs w:val="20"/>
      <w:u w:val="none"/>
    </w:rPr>
  </w:style>
  <w:style w:type="character" w:customStyle="1" w:styleId="19">
    <w:name w:val="font11"/>
    <w:basedOn w:val="10"/>
    <w:qFormat/>
    <w:uiPriority w:val="0"/>
    <w:rPr>
      <w:rFonts w:hint="eastAsia" w:ascii="宋体" w:hAnsi="宋体" w:eastAsia="宋体" w:cs="宋体"/>
      <w:color w:val="000000"/>
      <w:sz w:val="22"/>
      <w:szCs w:val="22"/>
      <w:u w:val="none"/>
    </w:rPr>
  </w:style>
  <w:style w:type="character" w:customStyle="1" w:styleId="20">
    <w:name w:val="font3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9078</Words>
  <Characters>9851</Characters>
  <Lines>0</Lines>
  <Paragraphs>0</Paragraphs>
  <TotalTime>0</TotalTime>
  <ScaleCrop>false</ScaleCrop>
  <LinksUpToDate>false</LinksUpToDate>
  <CharactersWithSpaces>10842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2024-07-12T08:20:54Z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