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hint="eastAsia" w:ascii="Arial" w:hAnsi="Arial" w:eastAsia="方正小标宋简体" w:cs="Arial"/>
          <w:color w:val="auto"/>
          <w:sz w:val="72"/>
          <w:szCs w:val="72"/>
          <w:lang w:eastAsia="zh-CN"/>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（等离子电切镜等设备医院公开挂网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等离子电切镜等设备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等离子电切镜等设备</w:t>
      </w:r>
      <w:r>
        <w:rPr>
          <w:rFonts w:hint="eastAsia" w:asciiTheme="minorEastAsia" w:hAnsiTheme="minorEastAsia" w:eastAsiaTheme="minorEastAsia" w:cstheme="minorEastAsia"/>
          <w:b w:val="0"/>
          <w:bCs/>
          <w:color w:val="auto"/>
          <w:sz w:val="24"/>
          <w:szCs w:val="24"/>
          <w:lang w:val="en-US" w:eastAsia="zh-CN"/>
        </w:rPr>
        <w:t>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内窥镜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4</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59400</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工作把手</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44400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内鞘</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7350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外鞘</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885</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闭孔器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冲洗接头</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960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內鞘接头</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高频双极线</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705</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bidi="ar-SA"/>
              </w:rPr>
              <w:t>120000</w:t>
            </w:r>
            <w:bookmarkStart w:id="5" w:name="_GoBack"/>
            <w:bookmarkEnd w:id="5"/>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1、电切镜：</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1-1、内窥镜：</w:t>
      </w:r>
      <w:r>
        <w:rPr>
          <w:rFonts w:hint="eastAsia" w:ascii="宋体" w:hAnsi="宋体" w:eastAsia="宋体" w:cs="宋体"/>
          <w:color w:val="FF0000"/>
          <w:sz w:val="24"/>
          <w:szCs w:val="24"/>
          <w:lang w:val="en-US" w:eastAsia="zh-CN"/>
        </w:rPr>
        <w:t>镜体外径2.9 mm --4 mm，工作长度280 mm--310 mm，</w:t>
      </w:r>
      <w:r>
        <w:rPr>
          <w:rFonts w:hint="eastAsia" w:ascii="宋体" w:hAnsi="宋体" w:eastAsia="宋体" w:cs="宋体"/>
          <w:color w:val="auto"/>
          <w:sz w:val="24"/>
          <w:szCs w:val="24"/>
          <w:lang w:val="en-US" w:eastAsia="zh-CN"/>
        </w:rPr>
        <w:t>视向角12度或30度可选，视场角不小于60度，</w:t>
      </w:r>
      <w:r>
        <w:rPr>
          <w:rFonts w:hint="eastAsia" w:ascii="宋体" w:hAnsi="宋体" w:eastAsia="宋体" w:cs="宋体"/>
          <w:color w:val="FF0000"/>
          <w:sz w:val="24"/>
          <w:szCs w:val="24"/>
          <w:lang w:val="en-US" w:eastAsia="zh-CN"/>
        </w:rPr>
        <w:t>光学工作距15 mm --20mm</w:t>
      </w:r>
      <w:r>
        <w:rPr>
          <w:rFonts w:hint="eastAsia" w:ascii="宋体" w:hAnsi="宋体" w:eastAsia="宋体" w:cs="宋体"/>
          <w:color w:val="auto"/>
          <w:sz w:val="24"/>
          <w:szCs w:val="24"/>
          <w:lang w:val="en-US" w:eastAsia="zh-CN"/>
        </w:rPr>
        <w:t>，有效景深范围3-100mm，视场内装有三角形方向标，与工作把手安装带定位针，可高温高压消毒、可低温等离子消毒；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1-2、工作把手：被动式，单双极一体式，滑块工作距离不小于24mm；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1-3、内鞘：周径不大于25Fr，鞘唇外径8毫米-8.2毫米，进出水持续灌流；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1-4、外鞘：周径不大于27Fr，最大插入部外径8.5毫米-8.8毫米，可360°旋转；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1-5、闭孔器：可在弯曲活动式与直头间切换；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1-6、冲洗接头：需具有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1-7、内鞘接头:双阀门式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1-8、高频双极线：双极式，长度不小于2800mm；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、以上所有配套附件必须与我院手术室现有</w:t>
      </w:r>
      <w:r>
        <w:rPr>
          <w:rFonts w:hint="eastAsia" w:ascii="宋体" w:hAnsi="宋体" w:eastAsia="宋体" w:cs="宋体"/>
          <w:color w:val="FF0000"/>
          <w:sz w:val="24"/>
          <w:szCs w:val="24"/>
          <w:lang w:val="en-US" w:eastAsia="zh-CN"/>
        </w:rPr>
        <w:t>奥林巴斯主机</w:t>
      </w:r>
      <w:bookmarkStart w:id="1" w:name="_Hlk170901585"/>
      <w:r>
        <w:rPr>
          <w:rFonts w:hint="eastAsia" w:ascii="宋体" w:hAnsi="宋体" w:eastAsia="宋体" w:cs="宋体"/>
        </w:rPr>
        <w:t>（UES-40）</w:t>
      </w:r>
      <w:bookmarkEnd w:id="1"/>
      <w:r>
        <w:rPr>
          <w:rFonts w:hint="eastAsia" w:ascii="宋体" w:hAnsi="宋体" w:eastAsia="宋体" w:cs="宋体"/>
          <w:color w:val="FF0000"/>
          <w:sz w:val="24"/>
          <w:szCs w:val="24"/>
          <w:lang w:val="en-US" w:eastAsia="zh-CN"/>
        </w:rPr>
        <w:t>兼容匹配。</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2、电切镜手术电极：（配套耗材）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2-1、电切环头部形状有环状、钩针状、滚球状、蘑菇头状等可选择，电切环头部材质为贵金属。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2-2、适用范围可用于经尿道前列腺电切术，经尿道前列腺剜除术，膀胱肿瘤电切术等；也可用于子宫肌瘤电切术，子宫息肉电切术，子宫纵隔电切术，宫颈电切术等类似手术环境下人体组织的电切和电凝。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2-3、匹配性</w:t>
      </w:r>
      <w:r>
        <w:rPr>
          <w:rFonts w:hint="eastAsia" w:ascii="宋体" w:hAnsi="宋体" w:cs="宋体"/>
          <w:color w:val="auto"/>
          <w:sz w:val="24"/>
          <w:szCs w:val="24"/>
          <w:lang w:val="en-US" w:eastAsia="zh-CN"/>
        </w:rPr>
        <w:t>：</w:t>
      </w:r>
      <w:r>
        <w:rPr>
          <w:rFonts w:hint="eastAsia" w:ascii="宋体" w:hAnsi="宋体" w:eastAsia="宋体" w:cs="宋体"/>
          <w:color w:val="FF0000"/>
          <w:sz w:val="24"/>
          <w:szCs w:val="24"/>
          <w:lang w:val="en-US" w:eastAsia="zh-CN"/>
        </w:rPr>
        <w:t>必须匹配我院手术室现有奥林巴斯电切镜及等离子主机</w:t>
      </w:r>
      <w:r>
        <w:rPr>
          <w:rFonts w:hint="eastAsia" w:ascii="宋体" w:hAnsi="宋体" w:eastAsia="宋体" w:cs="宋体"/>
        </w:rPr>
        <w:t>（UES-40）</w:t>
      </w:r>
      <w:r>
        <w:rPr>
          <w:rFonts w:hint="eastAsia" w:ascii="宋体" w:hAnsi="宋体" w:eastAsia="宋体" w:cs="宋体"/>
          <w:color w:val="FF0000"/>
          <w:sz w:val="24"/>
          <w:szCs w:val="24"/>
          <w:lang w:val="en-US" w:eastAsia="zh-CN"/>
        </w:rPr>
        <w:t>使用。</w:t>
      </w:r>
      <w:r>
        <w:rPr>
          <w:rFonts w:hint="eastAsia" w:ascii="宋体" w:hAnsi="宋体" w:eastAsia="宋体" w:cs="宋体"/>
          <w:color w:val="auto"/>
          <w:sz w:val="24"/>
          <w:szCs w:val="24"/>
          <w:lang w:val="en-US" w:eastAsia="zh-CN"/>
        </w:rPr>
        <w:t>2-4、灭菌方式</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可低温等离子灭菌。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2-5、电气安全</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应符合GB 9706.1-2007、GB 9706.4-2009、GB 9706.19-2000的要求。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2-6、电磁兼容</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应符合YY 0505-2012以及GB 9706.4-2009第36章的要求。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2-7、注册证类型</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电极需三类单独注册证聚光，光源≥18组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8、耗材报价要求：不得高于湖南省招采平台中标价，不得高于下表限价，具体价格由评审委员会负责现场谈判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配套耗材：</w:t>
      </w:r>
    </w:p>
    <w:tbl>
      <w:tblPr>
        <w:tblStyle w:val="10"/>
        <w:tblW w:w="6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83"/>
        <w:gridCol w:w="2307"/>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专机专用耗材名称</w:t>
            </w:r>
          </w:p>
        </w:tc>
        <w:tc>
          <w:tcPr>
            <w:tcW w:w="230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功能描述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限价单价（</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个</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3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t>环状</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3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t>钩状</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30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t>滚球状</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t>1600</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商务参数</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360" w:lineRule="exact"/>
        <w:ind w:firstLine="6720" w:firstLineChars="2800"/>
        <w:jc w:val="righ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合同编号：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医疗设备及专机专用耗材采购合同</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36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等离子电切镜等一批及专机专用耗材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等离子电切镜等一批及专机专用耗材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10"/>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9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内窥镜</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4支</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工作把手</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3把</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内鞘</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3支</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外鞘</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3支</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闭孔器</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3支</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冲洗接头</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3个</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內鞘接头</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3个</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99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高频双极线</w:t>
            </w: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3条</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68"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.1.2 本合同设备约定价格为固定价格，不因物价、市场波动变更，该约定价格包括且不限于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设计费、材料费、人工费、安装费、包装费、运输费、装卸费、调试费、接口费、检测费、检验费、税费、保险费、售后服务费、附随服务费等在内所有费用</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1.1.3  所有设备附件必须与甲方手术室现有奥林巴斯主机兼容匹配。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 设备专机专用耗材供应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 耗材名称、规格型号、编号、单价</w:t>
      </w:r>
    </w:p>
    <w:tbl>
      <w:tblPr>
        <w:tblStyle w:val="10"/>
        <w:tblW w:w="910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83"/>
        <w:gridCol w:w="2216"/>
        <w:gridCol w:w="2307"/>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专机专用耗材名称</w:t>
            </w:r>
          </w:p>
        </w:tc>
        <w:tc>
          <w:tcPr>
            <w:tcW w:w="2216"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规格型号</w:t>
            </w:r>
          </w:p>
        </w:tc>
        <w:tc>
          <w:tcPr>
            <w:tcW w:w="230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组件编号</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单价（</w:t>
            </w:r>
            <w:r>
              <w:rPr>
                <w:rFonts w:hint="eastAsia" w:asciiTheme="minorEastAsia" w:hAnsiTheme="minorEastAsia" w:cstheme="minorEastAsia"/>
                <w:b w:val="0"/>
                <w:bCs w:val="0"/>
                <w:color w:val="000000" w:themeColor="text1"/>
                <w:kern w:val="0"/>
                <w:sz w:val="24"/>
                <w:szCs w:val="24"/>
                <w:lang w:val="en-US" w:eastAsia="zh-CN"/>
                <w14:textFill>
                  <w14:solidFill>
                    <w14:schemeClr w14:val="tx1"/>
                  </w14:solidFill>
                </w14:textFill>
              </w:rPr>
              <w:t>个</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2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3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2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3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电切镜手术电极</w:t>
            </w:r>
          </w:p>
        </w:tc>
        <w:tc>
          <w:tcPr>
            <w:tcW w:w="221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30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val="0"/>
                <w:bCs w:val="0"/>
                <w:i w:val="0"/>
                <w:iCs w:val="0"/>
                <w:color w:val="000000" w:themeColor="text1"/>
                <w:kern w:val="2"/>
                <w:sz w:val="24"/>
                <w:szCs w:val="24"/>
                <w:u w:val="none"/>
                <w:lang w:val="en-US" w:eastAsia="zh-CN" w:bidi="ar-SA"/>
                <w14:textFill>
                  <w14:solidFill>
                    <w14:schemeClr w14:val="tx1"/>
                  </w14:solidFill>
                </w14:textFill>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szCs w:val="24"/>
          <w:lang w:eastAsia="zh-CN"/>
          <w14:textFill>
            <w14:solidFill>
              <w14:schemeClr w14:val="tx1"/>
            </w14:solidFill>
          </w14:textFill>
        </w:rPr>
        <w:t>等离子电切镜等一批</w:t>
      </w: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调整后的价格高于本合同价格的，原则上按本合同约定价格执行，如乙方因特殊情况需要调整，应先书面通知甲方，经甲乙双方协商一致后按协商后的价格执行，如双方无法达成一致，甲方有权公开遴选该耗材供应商。本合同约定的医用耗材集采后，甲方库存中剩余耗材均按新的集采价格进行结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  设备</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default" w:ascii="宋体" w:hAnsi="宋体" w:eastAsia="宋体" w:cs="宋体"/>
          <w:color w:val="000000" w:themeColor="text1"/>
          <w:sz w:val="24"/>
          <w:szCs w:val="24"/>
          <w:lang w:val="en-US" w:eastAsia="zh-CN"/>
          <w14:textFill>
            <w14:solidFill>
              <w14:schemeClr w14:val="tx1"/>
            </w14:solidFill>
          </w14:textFill>
        </w:rPr>
        <w:t>乙方应在</w:t>
      </w:r>
      <w:r>
        <w:rPr>
          <w:rFonts w:hint="eastAsia" w:ascii="宋体" w:hAnsi="宋体" w:cs="宋体"/>
          <w:color w:val="000000" w:themeColor="text1"/>
          <w:sz w:val="24"/>
          <w:szCs w:val="24"/>
          <w:lang w:val="en-US" w:eastAsia="zh-CN"/>
          <w14:textFill>
            <w14:solidFill>
              <w14:schemeClr w14:val="tx1"/>
            </w14:solidFill>
          </w14:textFill>
        </w:rPr>
        <w:t>接到甲方通知30日内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并在</w:t>
      </w:r>
      <w:r>
        <w:rPr>
          <w:rFonts w:hint="eastAsia" w:ascii="宋体" w:hAnsi="宋体" w:cs="宋体"/>
          <w:color w:val="000000" w:themeColor="text1"/>
          <w:sz w:val="24"/>
          <w:szCs w:val="24"/>
          <w:lang w:val="en-US" w:eastAsia="zh-CN"/>
          <w14:textFill>
            <w14:solidFill>
              <w14:schemeClr w14:val="tx1"/>
            </w14:solidFill>
          </w14:textFill>
        </w:rPr>
        <w:t>到货后3日内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2.1.3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 设备专机专用耗材交货时间地点、运输及装卸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由乙方自备交通运输工具将耗材运至合同约定地点，并负责设备装卸的人工及费用。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设备质量标准、质量验收、包装要求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3.1.2 设备质量验收：以本合同约定标准按以下方式进行验收：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专机专用耗材质量标准、质量验收、包装要求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国内生产的医用耗材应当符合国家质量标准和行业强制性标准；进口医用耗材须具备进口医用耗材注册证、批件，口岸药检所出具的检验报告书或注明“已抽样”的通关单；乙方送交的医用耗材均应提供相应合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耗材质量验收：甲方每次收到乙方提供医用耗材时，应组织人员对医用耗材的数量、包装、有效期等外观进行验收，对乙方提供的医用耗材外观标准与中标（挂网）医用耗材目录品种信息和甲方书面订单要求相符的，甲方在乙方送货单上签字确认验收；对乙方提供的医用耗材外观标准与中标（挂网）医用耗材目录品种信息、甲方订单要求不符的，甲方有权拒收。乙方应在甲方拒收之日起3日内，向甲方更换合                                                                                                                                                                                                                                                                                                                                                                                                                                                                                                                                                                                                                                                                                                                                                                                                                                                                                                                                                                                                                                                                                                                                                                                                                                                                                                                                                                                                                                                                                                                                                                                                                                                                                                                                                                                                                                                                                                                                                                                                                                                                                                                                                                                                                                                 格的医用耗材。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包装要求：医用耗材包装须与交易平台上中标（挂网）医用耗材的信息一致，包装为原产包装且应完全无损，如甲方对包装有特殊要求时，乙方应按甲方订单要求包装。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 设备售后服务</w:t>
      </w:r>
    </w:p>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5.1.2  </w:t>
      </w:r>
      <w:r>
        <w:rPr>
          <w:rFonts w:hint="eastAsia" w:ascii="宋体" w:hAnsi="宋体" w:eastAsia="宋体" w:cs="宋体"/>
          <w:color w:val="000000" w:themeColor="text1"/>
          <w:sz w:val="24"/>
          <w14:textFill>
            <w14:solidFill>
              <w14:schemeClr w14:val="tx1"/>
            </w14:solidFill>
          </w14:textFill>
        </w:rPr>
        <w:t>乙方在质保期内免费提供</w:t>
      </w:r>
      <w:r>
        <w:rPr>
          <w:rFonts w:hint="eastAsia" w:ascii="宋体" w:hAnsi="宋体" w:eastAsia="宋体" w:cs="宋体"/>
          <w:color w:val="000000" w:themeColor="text1"/>
          <w:sz w:val="24"/>
          <w:szCs w:val="24"/>
          <w:lang w:val="en-US" w:eastAsia="zh-CN"/>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维修、更换、保养、咨询等服务</w:t>
      </w:r>
      <w:r>
        <w:rPr>
          <w:rFonts w:hint="eastAsia" w:ascii="宋体" w:hAnsi="宋体" w:eastAsia="宋体" w:cs="宋体"/>
          <w:color w:val="000000" w:themeColor="text1"/>
          <w:sz w:val="24"/>
          <w:lang w:val="en-US"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出具原厂售</w:t>
      </w:r>
      <w:r>
        <w:rPr>
          <w:rFonts w:hint="eastAsia" w:ascii="宋体" w:hAnsi="宋体" w:eastAsia="宋体" w:cs="宋体"/>
          <w:color w:val="000000" w:themeColor="text1"/>
          <w:sz w:val="24"/>
          <w:szCs w:val="24"/>
          <w:lang w:val="en-US" w:eastAsia="zh-CN"/>
          <w14:textFill>
            <w14:solidFill>
              <w14:schemeClr w14:val="tx1"/>
            </w14:solidFill>
          </w14:textFill>
        </w:rPr>
        <w:t>后质保承诺书。如设备在质保期内出现质量问题，乙方应在接到甲方通知（包括电话通知）后1小时响应，响应后24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  质保期届满后，如设备出现问题，乙方应在接到甲方通知（包括电话通知）24小时响应，响应后4小时上门服务，相关费用由甲方承担。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 耗材售后服务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 在乙方提供耗材的标识标注的有效期内，如出现质量问题，甲方有权要求更换，乙方应在甲方提出更换之日起3日内，向甲方更换合格的医用耗材。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w:t>
      </w:r>
      <w:r>
        <w:rPr>
          <w:rFonts w:hint="eastAsia" w:ascii="宋体" w:hAnsi="宋体" w:eastAsia="宋体" w:cs="宋体"/>
          <w:color w:val="000000" w:themeColor="text1"/>
          <w:sz w:val="24"/>
          <w:szCs w:val="24"/>
          <w:lang w:val="en-US" w:eastAsia="zh-CN"/>
          <w14:textFill>
            <w14:solidFill>
              <w14:schemeClr w14:val="tx1"/>
            </w14:solidFill>
          </w14:textFill>
        </w:rPr>
        <w:t>本合同设备、耗材</w:t>
      </w:r>
      <w:r>
        <w:rPr>
          <w:rFonts w:hint="eastAsia" w:ascii="宋体" w:hAnsi="宋体" w:eastAsia="宋体" w:cs="宋体"/>
          <w:color w:val="000000" w:themeColor="text1"/>
          <w:sz w:val="24"/>
          <w:szCs w:val="24"/>
          <w14:textFill>
            <w14:solidFill>
              <w14:schemeClr w14:val="tx1"/>
            </w14:solidFill>
          </w14:textFill>
        </w:rPr>
        <w:t>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  设备款结算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6.1.1 自甲方在设备总体验收报告单上签字确认合格之日起4个月内，甲方支付设备结算价款的90%；余款10%，甲方在质保期届满且不存在需被扣除情形之日起10个工作日内，免息支付给乙方。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6.1.2 乙方应在甲方首次支付设备货款前，提供以自己名义开具的与设备结算价款对应的增值税普通发票送交甲方，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6.1.3 乙方开具的发票金额应与设备总体验收报告单内容一致，甲方不支付超出设备总体验收报告单内容以外的任何费用。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6.2  耗材款结算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耗材结算价款</w:t>
      </w:r>
      <w:r>
        <w:rPr>
          <w:rFonts w:hint="default" w:ascii="宋体" w:hAnsi="宋体" w:eastAsia="宋体" w:cs="宋体"/>
          <w:b w:val="0"/>
          <w:bCs w:val="0"/>
          <w:color w:val="000000" w:themeColor="text1"/>
          <w:sz w:val="24"/>
          <w:szCs w:val="24"/>
          <w:lang w:val="en-US" w:eastAsia="zh-CN"/>
          <w14:textFill>
            <w14:solidFill>
              <w14:schemeClr w14:val="tx1"/>
            </w14:solidFill>
          </w14:textFill>
        </w:rPr>
        <w:t>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甲方的</w:t>
      </w:r>
      <w:r>
        <w:rPr>
          <w:rFonts w:hint="default" w:ascii="宋体" w:hAnsi="宋体" w:eastAsia="宋体" w:cs="宋体"/>
          <w:b w:val="0"/>
          <w:bCs w:val="0"/>
          <w:color w:val="000000" w:themeColor="text1"/>
          <w:sz w:val="24"/>
          <w:szCs w:val="24"/>
          <w:lang w:val="en-US" w:eastAsia="zh-CN"/>
          <w14:textFill>
            <w14:solidFill>
              <w14:schemeClr w14:val="tx1"/>
            </w14:solidFill>
          </w14:textFill>
        </w:rPr>
        <w:t>书面订单、经甲方签字确认的乙方送货单按</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月</w:t>
      </w:r>
      <w:r>
        <w:rPr>
          <w:rFonts w:hint="eastAsia" w:ascii="宋体" w:hAnsi="宋体" w:eastAsia="宋体" w:cs="宋体"/>
          <w:b w:val="0"/>
          <w:bCs w:val="0"/>
          <w:color w:val="000000" w:themeColor="text1"/>
          <w:sz w:val="24"/>
          <w:szCs w:val="24"/>
          <w:lang w:val="en-US" w:eastAsia="zh-CN"/>
          <w14:textFill>
            <w14:solidFill>
              <w14:schemeClr w14:val="tx1"/>
            </w14:solidFill>
          </w14:textFill>
        </w:rPr>
        <w:t>据实</w:t>
      </w:r>
      <w:r>
        <w:rPr>
          <w:rFonts w:hint="default" w:ascii="宋体" w:hAnsi="宋体" w:eastAsia="宋体" w:cs="宋体"/>
          <w:b w:val="0"/>
          <w:bCs w:val="0"/>
          <w:color w:val="000000" w:themeColor="text1"/>
          <w:sz w:val="24"/>
          <w:szCs w:val="24"/>
          <w:lang w:val="en-US" w:eastAsia="zh-CN"/>
          <w14:textFill>
            <w14:solidFill>
              <w14:schemeClr w14:val="tx1"/>
            </w14:solidFill>
          </w14:textFill>
        </w:rPr>
        <w:t>结算</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乙方应向甲方提供以乙方名义开具的与</w:t>
      </w:r>
      <w:r>
        <w:rPr>
          <w:rFonts w:hint="eastAsia" w:ascii="宋体" w:hAnsi="宋体" w:eastAsia="宋体" w:cs="宋体"/>
          <w:b w:val="0"/>
          <w:bCs w:val="0"/>
          <w:color w:val="000000" w:themeColor="text1"/>
          <w:sz w:val="24"/>
          <w:szCs w:val="24"/>
          <w:lang w:val="en-US" w:eastAsia="zh-CN"/>
          <w14:textFill>
            <w14:solidFill>
              <w14:schemeClr w14:val="tx1"/>
            </w14:solidFill>
          </w14:textFill>
        </w:rPr>
        <w:t>该批次</w:t>
      </w:r>
      <w:r>
        <w:rPr>
          <w:rFonts w:hint="default" w:ascii="宋体" w:hAnsi="宋体" w:eastAsia="宋体" w:cs="宋体"/>
          <w:b w:val="0"/>
          <w:bCs w:val="0"/>
          <w:color w:val="000000" w:themeColor="text1"/>
          <w:sz w:val="24"/>
          <w:szCs w:val="24"/>
          <w:lang w:val="en-US" w:eastAsia="zh-CN"/>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b w:val="0"/>
          <w:bCs w:val="0"/>
          <w:color w:val="000000" w:themeColor="text1"/>
          <w:sz w:val="24"/>
          <w:szCs w:val="24"/>
          <w:lang w:val="en-US" w:eastAsia="zh-CN"/>
          <w14:textFill>
            <w14:solidFill>
              <w14:schemeClr w14:val="tx1"/>
            </w14:solidFill>
          </w14:textFill>
        </w:rPr>
        <w:t>甲方自收到乙方发票且财务入账后180日内（如遇特殊情况顺延）向乙方支付该批次结算价款</w:t>
      </w:r>
      <w:r>
        <w:rPr>
          <w:rFonts w:hint="default" w:ascii="宋体" w:hAnsi="宋体" w:eastAsia="宋体" w:cs="宋体"/>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与甲方办理结算手续。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甲方通过银行转账方式向乙方指定银行账户支付结算价款，乙方指定账户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  医用耗材有效期内因医用耗材质量问题产生的风险均由乙方承担。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  乙方确保本合同约定设备及耗材的权利均无瑕疵，包括所有权及知识产权等权利，否则由乙方承担全部法律责任和经济赔偿。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第八条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廉洁条款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质量不符合国家标准、本合同标准或响应文件约定标准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11.2.5 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11.2.6 乙方未经甲方设备科发出书面订单采购私自向甲方科室配送的。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11.2.7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11.2.8 乙方在本合同履行期间因违法行为被追究刑事责任的，或被予以吊销营业执照、取消资质等行政处罚，或乙方被接管、资金被冻结的。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11.2.9 其他根本违约的情形。</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如乙方未在本合同约定时间内将验收合格的设备交付给甲方使用，除应赔偿甲方因此造成的损失外，每逾期一日，按本合同约定设备总价款的千分之一向甲方支付违约金。</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如乙方未在本合同约定时间内将验收合格的耗材交付给甲方使用，除应赔偿甲方因此造成的损失外，每逾期一日，按该批次耗材结算金额的百分之五向甲方支付违约金。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  如乙方单方解除合同或甲方因乙方原因解除合同，乙方应赔偿给甲方造成的全部经济损失外还应向甲方支付违约金</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10000 </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1500.00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3"/>
        <w:numPr>
          <w:ilvl w:val="0"/>
          <w:numId w:val="0"/>
        </w:numPr>
        <w:spacing w:line="240" w:lineRule="auto"/>
        <w:ind w:left="2940" w:leftChars="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9C3600"/>
    <w:rsid w:val="06E91EC4"/>
    <w:rsid w:val="086F75C9"/>
    <w:rsid w:val="0A3F4F3C"/>
    <w:rsid w:val="0E331420"/>
    <w:rsid w:val="0E3D051E"/>
    <w:rsid w:val="0EDD1643"/>
    <w:rsid w:val="0FB9029C"/>
    <w:rsid w:val="10914EF9"/>
    <w:rsid w:val="12080B62"/>
    <w:rsid w:val="12994AC5"/>
    <w:rsid w:val="129F447F"/>
    <w:rsid w:val="12C86253"/>
    <w:rsid w:val="15060AC8"/>
    <w:rsid w:val="15675A4C"/>
    <w:rsid w:val="17F91BB8"/>
    <w:rsid w:val="1A694BBF"/>
    <w:rsid w:val="1AF56B46"/>
    <w:rsid w:val="1E79119D"/>
    <w:rsid w:val="1F334F58"/>
    <w:rsid w:val="1F796B24"/>
    <w:rsid w:val="1FE73549"/>
    <w:rsid w:val="2038045E"/>
    <w:rsid w:val="20B41DA7"/>
    <w:rsid w:val="272B6E6C"/>
    <w:rsid w:val="27CF2BB7"/>
    <w:rsid w:val="28E81B29"/>
    <w:rsid w:val="29843A46"/>
    <w:rsid w:val="29B45A41"/>
    <w:rsid w:val="2C0A2E19"/>
    <w:rsid w:val="2C7642D0"/>
    <w:rsid w:val="2DD77C64"/>
    <w:rsid w:val="2DDA1E78"/>
    <w:rsid w:val="2DE00B8C"/>
    <w:rsid w:val="2EAC037F"/>
    <w:rsid w:val="2EB67A5C"/>
    <w:rsid w:val="302741D2"/>
    <w:rsid w:val="308B184D"/>
    <w:rsid w:val="33384C93"/>
    <w:rsid w:val="340F06E9"/>
    <w:rsid w:val="359C0115"/>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3DE4A28"/>
    <w:rsid w:val="581A7C72"/>
    <w:rsid w:val="583A4BD7"/>
    <w:rsid w:val="59C74B1F"/>
    <w:rsid w:val="611B6B1B"/>
    <w:rsid w:val="627C2DFB"/>
    <w:rsid w:val="62C222C2"/>
    <w:rsid w:val="632D7C40"/>
    <w:rsid w:val="64133D6A"/>
    <w:rsid w:val="678E4F5D"/>
    <w:rsid w:val="680E122C"/>
    <w:rsid w:val="68E6067D"/>
    <w:rsid w:val="6A4E1D63"/>
    <w:rsid w:val="6DE375E4"/>
    <w:rsid w:val="6E8E5287"/>
    <w:rsid w:val="6FBE332C"/>
    <w:rsid w:val="704E28A5"/>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spacing w:before="280" w:after="290" w:line="376" w:lineRule="auto"/>
      <w:textAlignment w:val="baseline"/>
    </w:pPr>
    <w:rPr>
      <w:rFonts w:ascii="Arial" w:hAnsi="Arial" w:eastAsia="黑体" w:cs="Times New Roman"/>
      <w:b/>
      <w:bCs/>
      <w:sz w:val="28"/>
      <w:szCs w:val="28"/>
    </w:rPr>
  </w:style>
  <w:style w:type="paragraph" w:styleId="5">
    <w:name w:val="Body Text Indent"/>
    <w:basedOn w:val="1"/>
    <w:next w:val="6"/>
    <w:autoRedefine/>
    <w:qFormat/>
    <w:uiPriority w:val="99"/>
    <w:pPr>
      <w:spacing w:line="400" w:lineRule="exact"/>
      <w:ind w:left="630"/>
    </w:pPr>
    <w:rPr>
      <w:rFonts w:ascii="楷体_GB2312"/>
      <w:sz w:val="30"/>
      <w:szCs w:val="30"/>
    </w:rPr>
  </w:style>
  <w:style w:type="paragraph" w:styleId="6">
    <w:name w:val="Body Text First Indent 2"/>
    <w:basedOn w:val="5"/>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9963</Words>
  <Characters>10607</Characters>
  <Lines>0</Lines>
  <Paragraphs>0</Paragraphs>
  <TotalTime>2</TotalTime>
  <ScaleCrop>false</ScaleCrop>
  <LinksUpToDate>false</LinksUpToDate>
  <CharactersWithSpaces>13894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2024-07-24T07:54:53Z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