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9FF9F5">
      <w:pPr>
        <w:pStyle w:val="12"/>
        <w:snapToGrid w:val="0"/>
        <w:jc w:val="center"/>
        <w:rPr>
          <w:rFonts w:hint="eastAsia" w:ascii="Arial" w:hAnsi="Arial" w:eastAsia="方正小标宋简体" w:cs="Arial"/>
          <w:color w:val="auto"/>
          <w:sz w:val="72"/>
          <w:szCs w:val="72"/>
          <w:lang w:eastAsia="zh-CN"/>
        </w:rPr>
      </w:pPr>
      <w:bookmarkStart w:id="0" w:name="_Toc16523570"/>
    </w:p>
    <w:p w14:paraId="38648228">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14:paraId="573B70A2">
      <w:pPr>
        <w:pStyle w:val="12"/>
        <w:snapToGrid w:val="0"/>
        <w:jc w:val="center"/>
        <w:rPr>
          <w:rFonts w:ascii="Arial" w:hAnsi="Arial" w:eastAsia="方正小标宋简体" w:cs="Arial"/>
          <w:sz w:val="72"/>
          <w:szCs w:val="72"/>
        </w:rPr>
      </w:pPr>
    </w:p>
    <w:p w14:paraId="48AC3AC9">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14:paraId="2F41BA1F">
      <w:pPr>
        <w:pStyle w:val="12"/>
        <w:snapToGrid w:val="0"/>
        <w:jc w:val="center"/>
        <w:rPr>
          <w:rFonts w:ascii="Arial" w:hAnsi="Arial" w:eastAsia="方正小标宋简体" w:cs="Arial"/>
          <w:sz w:val="72"/>
          <w:szCs w:val="72"/>
        </w:rPr>
      </w:pPr>
    </w:p>
    <w:p w14:paraId="5AFE286C">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14:paraId="65B9AA34">
      <w:pPr>
        <w:pStyle w:val="12"/>
        <w:snapToGrid w:val="0"/>
        <w:jc w:val="center"/>
        <w:rPr>
          <w:rFonts w:ascii="Arial" w:hAnsi="Arial" w:eastAsia="方正小标宋简体" w:cs="Arial"/>
          <w:sz w:val="72"/>
          <w:szCs w:val="72"/>
        </w:rPr>
      </w:pPr>
    </w:p>
    <w:p w14:paraId="705E1937">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14:paraId="33ECBBA1">
      <w:pPr>
        <w:pStyle w:val="12"/>
        <w:snapToGrid w:val="0"/>
        <w:jc w:val="center"/>
        <w:rPr>
          <w:rFonts w:ascii="Arial" w:hAnsi="Arial" w:eastAsia="方正小标宋简体" w:cs="Arial"/>
          <w:sz w:val="72"/>
          <w:szCs w:val="72"/>
        </w:rPr>
      </w:pPr>
    </w:p>
    <w:p w14:paraId="7E5286DA">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14:paraId="39A969AB">
      <w:pPr>
        <w:pStyle w:val="12"/>
        <w:snapToGrid w:val="0"/>
        <w:jc w:val="center"/>
        <w:rPr>
          <w:rFonts w:ascii="Arial" w:hAnsi="Arial" w:cs="Arial"/>
          <w:sz w:val="32"/>
          <w:szCs w:val="32"/>
        </w:rPr>
      </w:pPr>
    </w:p>
    <w:p w14:paraId="62F2469F">
      <w:pPr>
        <w:pStyle w:val="12"/>
        <w:snapToGrid w:val="0"/>
        <w:jc w:val="center"/>
        <w:rPr>
          <w:rFonts w:ascii="Arial" w:hAnsi="Arial" w:cs="Arial"/>
          <w:sz w:val="32"/>
          <w:szCs w:val="32"/>
        </w:rPr>
      </w:pPr>
    </w:p>
    <w:p w14:paraId="4BC89937">
      <w:pPr>
        <w:pStyle w:val="12"/>
        <w:snapToGrid w:val="0"/>
        <w:jc w:val="center"/>
        <w:rPr>
          <w:rFonts w:ascii="Arial" w:hAnsi="Arial" w:cs="Arial"/>
          <w:sz w:val="32"/>
          <w:szCs w:val="32"/>
        </w:rPr>
      </w:pPr>
    </w:p>
    <w:p w14:paraId="3869A1F9">
      <w:pPr>
        <w:spacing w:line="360" w:lineRule="auto"/>
        <w:rPr>
          <w:rFonts w:hint="eastAsia"/>
          <w:bCs/>
          <w:sz w:val="32"/>
          <w:szCs w:val="32"/>
        </w:rPr>
      </w:pPr>
    </w:p>
    <w:p w14:paraId="70E430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14:paraId="7CC6C844">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（无创呼吸机医院公开挂网</w:t>
      </w:r>
      <w:r>
        <w:rPr>
          <w:rFonts w:hint="eastAsia" w:ascii="Times New Roman" w:hAnsi="Times New Roman" w:eastAsia="宋体" w:cs="Times New Roman"/>
          <w:b/>
          <w:bCs/>
          <w:kern w:val="44"/>
          <w:sz w:val="32"/>
          <w:szCs w:val="32"/>
          <w:lang w:val="en-US" w:eastAsia="zh-CN" w:bidi="ar-SA"/>
        </w:rPr>
        <w:t>）</w:t>
      </w:r>
    </w:p>
    <w:p w14:paraId="4A443BAD">
      <w:pPr>
        <w:spacing w:line="320" w:lineRule="exact"/>
        <w:jc w:val="left"/>
        <w:rPr>
          <w:sz w:val="24"/>
        </w:rPr>
      </w:pPr>
    </w:p>
    <w:p w14:paraId="459DFE34">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九</w:t>
      </w:r>
      <w:r>
        <w:rPr>
          <w:rFonts w:hint="eastAsia" w:ascii="宋体" w:hAnsi="宋体" w:cs="宋体"/>
          <w:bCs/>
          <w:sz w:val="32"/>
          <w:szCs w:val="32"/>
        </w:rPr>
        <w:t>月</w:t>
      </w:r>
    </w:p>
    <w:p w14:paraId="3DF298CF">
      <w:pPr>
        <w:pStyle w:val="4"/>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78BCE36">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无创呼吸机</w:t>
      </w:r>
      <w:r>
        <w:rPr>
          <w:rFonts w:hint="eastAsia" w:asciiTheme="minorEastAsia" w:hAnsiTheme="minorEastAsia" w:eastAsiaTheme="minorEastAsia" w:cstheme="minorEastAsia"/>
          <w:bCs/>
          <w:color w:val="auto"/>
          <w:sz w:val="24"/>
          <w:szCs w:val="24"/>
          <w:lang w:val="en-US" w:eastAsia="zh-CN"/>
        </w:rPr>
        <w:t>项目进行医院公开挂网，将事项公告如下：</w:t>
      </w:r>
      <w:bookmarkStart w:id="4" w:name="_GoBack"/>
      <w:bookmarkEnd w:id="4"/>
    </w:p>
    <w:p w14:paraId="7DFD7C9D">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0FCC5D9E">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无创呼吸机</w:t>
      </w:r>
      <w:r>
        <w:rPr>
          <w:rFonts w:hint="eastAsia" w:asciiTheme="minorEastAsia" w:hAnsiTheme="minorEastAsia" w:eastAsiaTheme="minorEastAsia" w:cstheme="minorEastAsia"/>
          <w:b w:val="0"/>
          <w:bCs/>
          <w:color w:val="auto"/>
          <w:sz w:val="24"/>
          <w:szCs w:val="24"/>
          <w:lang w:val="en-US" w:eastAsia="zh-CN"/>
        </w:rPr>
        <w:t>项目</w:t>
      </w:r>
    </w:p>
    <w:p w14:paraId="3276E07E">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49BC824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14:paraId="402B762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3DBB29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570B380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093EB2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0990968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4F8B8C5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34CCEB7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6C8CC2F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69BEBEE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43A6D26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7A57AA9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14:paraId="47957F6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14:paraId="5E9D5EE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5D403F6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14:paraId="414FFAF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09F85A0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0189432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2A027E2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14:paraId="59CBD39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468F37FE">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5F33EC6D">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67A01F6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14:paraId="0E3F68E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14:paraId="3AAF1B8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2B96893A">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2118BD0D">
      <w:pPr>
        <w:pStyle w:val="13"/>
        <w:rPr>
          <w:rFonts w:hint="eastAsia"/>
          <w:lang w:val="en-US" w:eastAsia="zh-CN"/>
        </w:rPr>
      </w:pPr>
    </w:p>
    <w:p w14:paraId="5F32D497">
      <w:pPr>
        <w:pStyle w:val="13"/>
        <w:jc w:val="both"/>
        <w:rPr>
          <w:rFonts w:hint="default"/>
          <w:lang w:val="en-US" w:eastAsia="zh-CN"/>
        </w:rPr>
      </w:pPr>
    </w:p>
    <w:p w14:paraId="635E3C4F">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3CDC084">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31C0F474">
      <w:pPr>
        <w:pStyle w:val="13"/>
        <w:rPr>
          <w:rFonts w:hint="eastAsia" w:ascii="宋体" w:hAnsi="宋体" w:cs="宋体"/>
          <w:b/>
          <w:bCs/>
          <w:color w:val="auto"/>
          <w:sz w:val="44"/>
          <w:szCs w:val="44"/>
          <w:lang w:val="en-US" w:eastAsia="zh-CN"/>
        </w:rPr>
      </w:pPr>
    </w:p>
    <w:p w14:paraId="07F2E394">
      <w:pPr>
        <w:pStyle w:val="2"/>
        <w:rPr>
          <w:rFonts w:hint="eastAsia" w:ascii="宋体" w:hAnsi="宋体" w:cs="宋体"/>
          <w:b/>
          <w:bCs/>
          <w:color w:val="auto"/>
          <w:sz w:val="44"/>
          <w:szCs w:val="44"/>
          <w:lang w:val="en-US" w:eastAsia="zh-CN"/>
        </w:rPr>
      </w:pPr>
    </w:p>
    <w:p w14:paraId="434F5413">
      <w:pPr>
        <w:rPr>
          <w:rFonts w:hint="eastAsia" w:ascii="宋体" w:hAnsi="宋体" w:cs="宋体"/>
          <w:b/>
          <w:bCs/>
          <w:color w:val="auto"/>
          <w:sz w:val="44"/>
          <w:szCs w:val="44"/>
          <w:lang w:val="en-US" w:eastAsia="zh-CN"/>
        </w:rPr>
      </w:pPr>
    </w:p>
    <w:p w14:paraId="68FA8AD2">
      <w:pPr>
        <w:pStyle w:val="11"/>
        <w:rPr>
          <w:rFonts w:hint="eastAsia"/>
          <w:lang w:val="en-US" w:eastAsia="zh-CN"/>
        </w:rPr>
      </w:pPr>
    </w:p>
    <w:p w14:paraId="34ED3F8C">
      <w:pPr>
        <w:pStyle w:val="4"/>
        <w:rPr>
          <w:rFonts w:hint="eastAsia" w:ascii="宋体" w:hAnsi="宋体" w:cs="宋体"/>
          <w:b/>
          <w:bCs/>
          <w:color w:val="auto"/>
          <w:sz w:val="44"/>
          <w:szCs w:val="44"/>
          <w:lang w:val="en-US" w:eastAsia="zh-CN"/>
        </w:rPr>
      </w:pPr>
    </w:p>
    <w:p w14:paraId="54DFEABB">
      <w:pPr>
        <w:rPr>
          <w:rFonts w:hint="eastAsia" w:ascii="宋体" w:hAnsi="宋体" w:cs="宋体"/>
          <w:b/>
          <w:bCs/>
          <w:color w:val="auto"/>
          <w:sz w:val="44"/>
          <w:szCs w:val="44"/>
          <w:lang w:val="en-US" w:eastAsia="zh-CN"/>
        </w:rPr>
      </w:pPr>
    </w:p>
    <w:p w14:paraId="5E2865C9">
      <w:pPr>
        <w:rPr>
          <w:rFonts w:hint="eastAsia" w:ascii="宋体" w:hAnsi="宋体" w:cs="宋体"/>
          <w:b/>
          <w:bCs/>
          <w:color w:val="auto"/>
          <w:sz w:val="44"/>
          <w:szCs w:val="44"/>
          <w:lang w:val="en-US" w:eastAsia="zh-CN"/>
        </w:rPr>
      </w:pPr>
    </w:p>
    <w:p w14:paraId="14722D58">
      <w:pPr>
        <w:rPr>
          <w:rFonts w:hint="eastAsia"/>
          <w:lang w:val="en-US" w:eastAsia="zh-CN"/>
        </w:rPr>
      </w:pPr>
    </w:p>
    <w:p w14:paraId="2ED97A37">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47BE2FE1">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9B06BC7">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4EA4F4D4">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F9C0B5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71F42EB5">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FF4BAB8">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615B0447">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85CA7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52361B5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88937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5419E1A">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无创呼吸机</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189DD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3</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4CEB9E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6.9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790B58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30E2BBD6">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5314F96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45526A5F">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6775EB3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05CE981F">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0E6C1DDB">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1．国产双水平呼吸治疗仪。</w:t>
      </w:r>
    </w:p>
    <w:p w14:paraId="757BCA22">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2．4.2英寸或以上屏幕，全中文菜单，可实时同屏监测设置参数、报警内容及潮气量、漏气量、分钟通气量、压力-时间波形及压力柱状图。一键飞梭触压式旋钮调节，操作简单方便。</w:t>
      </w:r>
    </w:p>
    <w:p w14:paraId="5F8945BC">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3．具备四种压力控制通气模式：</w:t>
      </w:r>
    </w:p>
    <w:p w14:paraId="03955EF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a)S--自主通气模式</w:t>
      </w:r>
    </w:p>
    <w:p w14:paraId="6ED499E0">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b)T--时间通气模式</w:t>
      </w:r>
    </w:p>
    <w:p w14:paraId="4AF4162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c)CPAP--持续正压通气模式</w:t>
      </w:r>
    </w:p>
    <w:p w14:paraId="5F6D0218">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d)S/T--自主/时间双级别通气模式</w:t>
      </w:r>
    </w:p>
    <w:p w14:paraId="15CE176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4．采用呼吸管路与测压管路双管路技术。具备独立近心端测压管路，压力监测采样位于面罩端，保证设定压力、同步性能及监测数据最为精确。</w:t>
      </w:r>
    </w:p>
    <w:p w14:paraId="75896EBF">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5．I-SLOP压力上升时间设定：压力上升时间最快可达≤50ms. （需提供第三方资质证明文件及加盖公章）</w:t>
      </w:r>
    </w:p>
    <w:p w14:paraId="75C16D56">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6．IPAP吸气相正压：4-25cmH2O</w:t>
      </w:r>
    </w:p>
    <w:p w14:paraId="5768EAE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7．EPAP呼气相正压：4-20cmH2O</w:t>
      </w:r>
    </w:p>
    <w:p w14:paraId="59B870F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8．CPAP持续气道正压：4-20 cmH2O</w:t>
      </w:r>
    </w:p>
    <w:p w14:paraId="31A4A48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9．呼吸频率：4-40次/分，吸气时间比：10-90%</w:t>
      </w:r>
    </w:p>
    <w:p w14:paraId="3002BE2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10．吸气触发灵敏度：全自动动态呼吸追踪技术、1-3档可调。</w:t>
      </w:r>
    </w:p>
    <w:p w14:paraId="4FE14E3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11．呼气触发灵敏度：全自动呼气转换技术、1-3档可调。</w:t>
      </w:r>
    </w:p>
    <w:p w14:paraId="1549FDF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12．监测参数：潮气量、呼吸频率、漏气量、分钟通气量、吸气时间、实时压力术柱状图、压力-时间波形曲线</w:t>
      </w:r>
    </w:p>
    <w:p w14:paraId="42EA4993">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13．报警功能：窒息报警、电源脱落报警</w:t>
      </w:r>
    </w:p>
    <w:p w14:paraId="13BB9414">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14．超强漏气补偿功能，可保证60L/分的补偿能力。</w:t>
      </w:r>
    </w:p>
    <w:p w14:paraId="1F8AB11D">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15．呼吸机性能要求：在模拟肺为ARDS模型，呼吸频率为≥40次/分钟，漏气量80升/分钟条件下：吸气触发时间值为≤140ms,误差不超过量化值正负20%；升压T90为≤330ms时，误差不超过量化值正负10%.在模拟肺为ARDS模型漏气量由40升/分钟升高到80升/分钟时，呼吸机回归稳定需要的周期为≤4，误差不超过量化值正负2。（需提供第三方资质证明文件及加盖公章）</w:t>
      </w:r>
    </w:p>
    <w:p w14:paraId="4061D32A">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16．具备面版锁定、开机计时收费功能。电脑远程控制调节、教学投影演示功能</w:t>
      </w:r>
    </w:p>
    <w:p w14:paraId="706A2745">
      <w:pPr>
        <w:numPr>
          <w:ilvl w:val="0"/>
          <w:numId w:val="0"/>
        </w:num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17．基本配置：呼吸机主机一台、呼吸管道长管1套、短管1套、测压管1根、超净滤膜1包、口鼻面罩1套、分体式可高温高压消毒重复使用有创无创通用型湿化器1套、移动台车1台。</w:t>
      </w:r>
    </w:p>
    <w:p w14:paraId="52C2B606">
      <w:pPr>
        <w:rPr>
          <w:rFonts w:hint="default"/>
          <w:lang w:val="en-US" w:eastAsia="zh-CN"/>
        </w:rPr>
      </w:pPr>
    </w:p>
    <w:p w14:paraId="15EC7489">
      <w:pPr>
        <w:pStyle w:val="4"/>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3C5278EB">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14:paraId="490DFA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14:paraId="2BEC70B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14:paraId="35A555DA">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14:paraId="2CE7588C">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1CB5D5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465A4BF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1E32B99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29E1EE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E16B41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193384F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1CF55D2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1E0BA8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7DE2E6B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64D07C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382A4F5C">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50D2B7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合同编号：</w:t>
      </w:r>
    </w:p>
    <w:p w14:paraId="3124E1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黑体" w:hAnsi="黑体" w:eastAsia="黑体" w:cs="黑体"/>
          <w:color w:val="000000" w:themeColor="text1"/>
          <w:sz w:val="44"/>
          <w:szCs w:val="44"/>
          <w:highlight w:val="none"/>
          <w:lang w:val="en-US" w:eastAsia="zh-CN"/>
          <w14:textFill>
            <w14:solidFill>
              <w14:schemeClr w14:val="tx1"/>
            </w14:solidFill>
          </w14:textFill>
        </w:rPr>
        <w:t>医疗设备采购合同</w:t>
      </w:r>
    </w:p>
    <w:p w14:paraId="4F5A300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p>
    <w:p w14:paraId="1F67251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甲方（采购方）：</w:t>
      </w:r>
      <w:r>
        <w:rPr>
          <w:rFonts w:hint="eastAsia" w:ascii="宋体" w:hAnsi="宋体" w:eastAsia="宋体" w:cs="宋体"/>
          <w:color w:val="000000" w:themeColor="text1"/>
          <w:sz w:val="24"/>
          <w:szCs w:val="24"/>
          <w:highlight w:val="none"/>
          <w:lang w:val="en-US" w:eastAsia="zh-CN"/>
          <w14:textFill>
            <w14:solidFill>
              <w14:schemeClr w14:val="tx1"/>
            </w14:solidFill>
          </w14:textFill>
        </w:rPr>
        <w:t>娄底市中心医院</w:t>
      </w:r>
    </w:p>
    <w:p w14:paraId="729CDE0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统一社会信用代码：12431300447162073W</w:t>
      </w:r>
    </w:p>
    <w:p w14:paraId="6C101DE0">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地址：湖南省娄底市娄星区长青中街51号</w:t>
      </w:r>
    </w:p>
    <w:p w14:paraId="3CE6DDF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联系人：朱振宇</w:t>
      </w:r>
    </w:p>
    <w:p w14:paraId="49DFB4CE">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联系电话：15673845559</w:t>
      </w:r>
    </w:p>
    <w:p w14:paraId="07E12E16">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乙方（供货方）：</w:t>
      </w:r>
    </w:p>
    <w:p w14:paraId="0A56806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统一社会信用代码：</w:t>
      </w:r>
    </w:p>
    <w:p w14:paraId="79B2BAA4">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地址：</w:t>
      </w:r>
    </w:p>
    <w:p w14:paraId="042532FD">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联系人：</w:t>
      </w:r>
    </w:p>
    <w:p w14:paraId="313571FB">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联系电话：</w:t>
      </w:r>
    </w:p>
    <w:p w14:paraId="332F6B96">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甲方通过</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医院公开挂网</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方式</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无创呼吸机</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，乙方为中标/中选供应商。根据《中华人民共和国民法典》《中华人民共和国政府采购法》等相关法律规定，甲乙双方在采购项目确定的基础上，就采购</w:t>
      </w:r>
      <w:r>
        <w:rPr>
          <w:rFonts w:hint="eastAsia" w:ascii="宋体" w:hAnsi="宋体" w:cs="宋体"/>
          <w:color w:val="000000" w:themeColor="text1"/>
          <w:sz w:val="24"/>
          <w:szCs w:val="24"/>
          <w:highlight w:val="none"/>
          <w:u w:val="single"/>
          <w:lang w:val="en-US" w:eastAsia="zh-CN"/>
          <w14:textFill>
            <w14:solidFill>
              <w14:schemeClr w14:val="tx1"/>
            </w14:solidFill>
          </w14:textFill>
        </w:rPr>
        <w:t>无创呼吸机</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相关</w:t>
      </w:r>
      <w:r>
        <w:rPr>
          <w:rFonts w:hint="eastAsia" w:ascii="宋体" w:hAnsi="宋体" w:eastAsia="宋体" w:cs="宋体"/>
          <w:color w:val="000000" w:themeColor="text1"/>
          <w:sz w:val="24"/>
          <w:szCs w:val="24"/>
          <w:highlight w:val="none"/>
          <w:lang w:val="en-US" w:eastAsia="zh-CN"/>
          <w14:textFill>
            <w14:solidFill>
              <w14:schemeClr w14:val="tx1"/>
            </w14:solidFill>
          </w14:textFill>
        </w:rPr>
        <w:t>事宜平等、自愿、公平、诚信协商，达成一致，特订立本合同，以资共同遵守。</w:t>
      </w:r>
    </w:p>
    <w:p w14:paraId="179F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第一条  </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采购内容</w:t>
      </w:r>
    </w:p>
    <w:p w14:paraId="0ED7047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1220"/>
        <w:gridCol w:w="1760"/>
        <w:gridCol w:w="1320"/>
        <w:gridCol w:w="940"/>
        <w:gridCol w:w="1654"/>
      </w:tblGrid>
      <w:tr w14:paraId="10E1A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517" w:type="dxa"/>
            <w:noWrap w:val="0"/>
            <w:vAlign w:val="top"/>
          </w:tcPr>
          <w:p w14:paraId="4471758E">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设备</w:t>
            </w:r>
            <w:r>
              <w:rPr>
                <w:rFonts w:hint="eastAsia" w:ascii="宋体" w:hAnsi="宋体" w:eastAsia="宋体" w:cs="宋体"/>
                <w:color w:val="000000" w:themeColor="text1"/>
                <w:kern w:val="0"/>
                <w:sz w:val="24"/>
                <w:szCs w:val="24"/>
                <w:highlight w:val="none"/>
                <w14:textFill>
                  <w14:solidFill>
                    <w14:schemeClr w14:val="tx1"/>
                  </w14:solidFill>
                </w14:textFill>
              </w:rPr>
              <w:t>名称</w:t>
            </w:r>
          </w:p>
        </w:tc>
        <w:tc>
          <w:tcPr>
            <w:tcW w:w="1220" w:type="dxa"/>
            <w:noWrap w:val="0"/>
            <w:vAlign w:val="top"/>
          </w:tcPr>
          <w:p w14:paraId="231DD481">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品牌</w:t>
            </w:r>
          </w:p>
        </w:tc>
        <w:tc>
          <w:tcPr>
            <w:tcW w:w="1760" w:type="dxa"/>
            <w:noWrap w:val="0"/>
            <w:vAlign w:val="top"/>
          </w:tcPr>
          <w:p w14:paraId="3E2F419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型号</w:t>
            </w:r>
          </w:p>
        </w:tc>
        <w:tc>
          <w:tcPr>
            <w:tcW w:w="1320" w:type="dxa"/>
            <w:noWrap w:val="0"/>
            <w:vAlign w:val="top"/>
          </w:tcPr>
          <w:p w14:paraId="01877A84">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单价（元）</w:t>
            </w:r>
          </w:p>
        </w:tc>
        <w:tc>
          <w:tcPr>
            <w:tcW w:w="940" w:type="dxa"/>
            <w:noWrap w:val="0"/>
            <w:vAlign w:val="top"/>
          </w:tcPr>
          <w:p w14:paraId="34C9255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数量</w:t>
            </w:r>
          </w:p>
        </w:tc>
        <w:tc>
          <w:tcPr>
            <w:tcW w:w="1654" w:type="dxa"/>
            <w:noWrap w:val="0"/>
            <w:vAlign w:val="top"/>
          </w:tcPr>
          <w:p w14:paraId="70506CAF">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金额（元）</w:t>
            </w:r>
          </w:p>
        </w:tc>
      </w:tr>
      <w:tr w14:paraId="5F9A8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517" w:type="dxa"/>
            <w:noWrap w:val="0"/>
            <w:vAlign w:val="top"/>
          </w:tcPr>
          <w:p w14:paraId="500F7D3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无创呼吸机</w:t>
            </w:r>
          </w:p>
        </w:tc>
        <w:tc>
          <w:tcPr>
            <w:tcW w:w="1220" w:type="dxa"/>
            <w:noWrap w:val="0"/>
            <w:vAlign w:val="center"/>
          </w:tcPr>
          <w:p w14:paraId="3DEB87C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1760" w:type="dxa"/>
            <w:noWrap w:val="0"/>
            <w:vAlign w:val="top"/>
          </w:tcPr>
          <w:p w14:paraId="73F0F477">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c>
          <w:tcPr>
            <w:tcW w:w="1320" w:type="dxa"/>
            <w:noWrap w:val="0"/>
            <w:vAlign w:val="top"/>
          </w:tcPr>
          <w:p w14:paraId="4F032C39">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 </w:t>
            </w:r>
          </w:p>
        </w:tc>
        <w:tc>
          <w:tcPr>
            <w:tcW w:w="940" w:type="dxa"/>
            <w:noWrap w:val="0"/>
            <w:vAlign w:val="top"/>
          </w:tcPr>
          <w:p w14:paraId="7972E616">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3</w:t>
            </w:r>
          </w:p>
        </w:tc>
        <w:tc>
          <w:tcPr>
            <w:tcW w:w="1654" w:type="dxa"/>
            <w:noWrap w:val="0"/>
            <w:vAlign w:val="top"/>
          </w:tcPr>
          <w:p w14:paraId="6E829995">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p>
        </w:tc>
      </w:tr>
      <w:tr w14:paraId="54F1B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14:paraId="2BB5262A">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合计</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价款</w:t>
            </w:r>
            <w:r>
              <w:rPr>
                <w:rFonts w:hint="eastAsia" w:ascii="宋体" w:hAnsi="宋体" w:eastAsia="宋体" w:cs="宋体"/>
                <w:color w:val="000000" w:themeColor="text1"/>
                <w:kern w:val="0"/>
                <w:sz w:val="24"/>
                <w:szCs w:val="24"/>
                <w:highlight w:val="none"/>
                <w14:textFill>
                  <w14:solidFill>
                    <w14:schemeClr w14:val="tx1"/>
                  </w14:solidFill>
                </w14:textFill>
              </w:rPr>
              <w:t>金额人民币（大写）：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eastAsia="zh-CN"/>
                <w14:textFill>
                  <w14:solidFill>
                    <w14:schemeClr w14:val="tx1"/>
                  </w14:solidFill>
                </w14:textFill>
              </w:rPr>
              <w:t>元</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highlight w:val="none"/>
                <w14:textFill>
                  <w14:solidFill>
                    <w14:schemeClr w14:val="tx1"/>
                  </w14:solidFill>
                </w14:textFill>
              </w:rPr>
              <w:t>（小写）：</w:t>
            </w:r>
            <w:r>
              <w:rPr>
                <w:rFonts w:hint="eastAsia" w:ascii="宋体" w:hAnsi="宋体" w:eastAsia="宋体" w:cs="宋体"/>
                <w:color w:val="000000" w:themeColor="text1"/>
                <w:kern w:val="0"/>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元</w:t>
            </w:r>
          </w:p>
        </w:tc>
      </w:tr>
    </w:tbl>
    <w:p w14:paraId="5050EF0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1.2 本合同约定价格为固定总价，不因物价、市场波动变更，约定价格包括且不限于设计费、材料费、人工费、安装费、包装费、运输费、装卸费、调试费、接口费、检测费、检验费、税费、保险费、售后服务费、附随服务费等在内所有费用。 </w:t>
      </w:r>
    </w:p>
    <w:p w14:paraId="1D9CC4E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1.3</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14:textFill>
            <w14:solidFill>
              <w14:schemeClr w14:val="tx1"/>
            </w14:solidFill>
          </w14:textFill>
        </w:rPr>
        <w:t>本合同设备无需与甲方使用的信息系统对接。</w:t>
      </w:r>
    </w:p>
    <w:p w14:paraId="3DB8CDB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jc w:val="both"/>
        <w:textAlignment w:val="auto"/>
        <w:rPr>
          <w:rFonts w:hint="default"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2"/>
          <w:sz w:val="24"/>
          <w:szCs w:val="24"/>
          <w:highlight w:val="none"/>
          <w:lang w:val="en-US" w:eastAsia="zh-CN" w:bidi="ar-SA"/>
          <w14:textFill>
            <w14:solidFill>
              <w14:schemeClr w14:val="tx1"/>
            </w14:solidFill>
          </w14:textFill>
        </w:rPr>
        <w:t xml:space="preserve">第二条  </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交货时间、地点、运输</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r>
        <w:rPr>
          <w:rFonts w:hint="default" w:ascii="宋体" w:hAnsi="宋体" w:eastAsia="宋体" w:cs="宋体"/>
          <w:b/>
          <w:bCs/>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、搬运</w:t>
      </w:r>
    </w:p>
    <w:p w14:paraId="32BF440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2.1 </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交货时间：乙方应在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自接到甲方通知之日起</w:t>
      </w:r>
      <w:r>
        <w:rPr>
          <w:rFonts w:hint="eastAsia" w:ascii="宋体" w:hAnsi="宋体" w:cs="宋体"/>
          <w:color w:val="000000" w:themeColor="text1"/>
          <w:sz w:val="24"/>
          <w:szCs w:val="24"/>
          <w:highlight w:val="none"/>
          <w:u w:val="single"/>
          <w:lang w:val="en-US" w:eastAsia="zh-CN"/>
          <w14:textFill>
            <w14:solidFill>
              <w14:schemeClr w14:val="tx1"/>
            </w14:solidFill>
          </w14:textFill>
        </w:rPr>
        <w:t>30</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将设备运至</w:t>
      </w:r>
      <w:r>
        <w:rPr>
          <w:rFonts w:hint="eastAsia" w:ascii="宋体" w:hAnsi="宋体" w:eastAsia="宋体" w:cs="宋体"/>
          <w:color w:val="000000" w:themeColor="text1"/>
          <w:sz w:val="24"/>
          <w:szCs w:val="24"/>
          <w:highlight w:val="none"/>
          <w:lang w:val="en-US" w:eastAsia="zh-CN"/>
          <w14:textFill>
            <w14:solidFill>
              <w14:schemeClr w14:val="tx1"/>
            </w14:solidFill>
          </w14:textFill>
        </w:rPr>
        <w:t>甲方指定交货</w:t>
      </w:r>
      <w:r>
        <w:rPr>
          <w:rFonts w:hint="default" w:ascii="宋体" w:hAnsi="宋体" w:eastAsia="宋体" w:cs="宋体"/>
          <w:color w:val="000000" w:themeColor="text1"/>
          <w:sz w:val="24"/>
          <w:szCs w:val="24"/>
          <w:highlight w:val="none"/>
          <w:lang w:val="en-US" w:eastAsia="zh-CN"/>
          <w14:textFill>
            <w14:solidFill>
              <w14:schemeClr w14:val="tx1"/>
            </w14:solidFill>
          </w14:textFill>
        </w:rPr>
        <w:t>地点，并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到货后</w:t>
      </w:r>
      <w:r>
        <w:rPr>
          <w:rFonts w:hint="eastAsia" w:ascii="宋体" w:hAnsi="宋体" w:cs="宋体"/>
          <w:color w:val="000000" w:themeColor="text1"/>
          <w:sz w:val="24"/>
          <w:szCs w:val="24"/>
          <w:highlight w:val="none"/>
          <w:u w:val="singl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日内</w:t>
      </w:r>
      <w:r>
        <w:rPr>
          <w:rFonts w:hint="default" w:ascii="宋体" w:hAnsi="宋体" w:eastAsia="宋体" w:cs="宋体"/>
          <w:color w:val="000000" w:themeColor="text1"/>
          <w:sz w:val="24"/>
          <w:szCs w:val="24"/>
          <w:highlight w:val="none"/>
          <w:lang w:val="en-US" w:eastAsia="zh-CN"/>
          <w14:textFill>
            <w14:solidFill>
              <w14:schemeClr w14:val="tx1"/>
            </w14:solidFill>
          </w14:textFill>
        </w:rPr>
        <w:t>完成安装、调试，办理验收手续并交付甲方使用。</w:t>
      </w:r>
    </w:p>
    <w:p w14:paraId="34005F8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.2 甲方指定</w:t>
      </w:r>
      <w:r>
        <w:rPr>
          <w:rFonts w:hint="default" w:ascii="宋体" w:hAnsi="宋体" w:eastAsia="宋体" w:cs="宋体"/>
          <w:color w:val="000000" w:themeColor="text1"/>
          <w:sz w:val="24"/>
          <w:szCs w:val="24"/>
          <w:highlight w:val="none"/>
          <w:lang w:val="en-US" w:eastAsia="zh-CN"/>
          <w14:textFill>
            <w14:solidFill>
              <w14:schemeClr w14:val="tx1"/>
            </w14:solidFill>
          </w14:textFill>
        </w:rPr>
        <w:t>交货地点：湖南省娄底市</w:t>
      </w:r>
      <w:r>
        <w:rPr>
          <w:rFonts w:hint="eastAsia" w:ascii="宋体" w:hAnsi="宋体" w:eastAsia="宋体" w:cs="宋体"/>
          <w:color w:val="000000" w:themeColor="text1"/>
          <w:sz w:val="24"/>
          <w:szCs w:val="24"/>
          <w:highlight w:val="none"/>
          <w:lang w:val="en-US" w:eastAsia="zh-CN"/>
          <w14:textFill>
            <w14:solidFill>
              <w14:schemeClr w14:val="tx1"/>
            </w14:solidFill>
          </w14:textFill>
        </w:rPr>
        <w:t>娄星区</w:t>
      </w:r>
      <w:r>
        <w:rPr>
          <w:rFonts w:hint="default" w:ascii="宋体" w:hAnsi="宋体" w:eastAsia="宋体" w:cs="宋体"/>
          <w:color w:val="000000" w:themeColor="text1"/>
          <w:sz w:val="24"/>
          <w:szCs w:val="24"/>
          <w:highlight w:val="non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娄底市中心医院</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设备科</w:t>
      </w:r>
      <w:r>
        <w:rPr>
          <w:rFonts w:hint="default"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4B1BDCC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default"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default" w:ascii="宋体" w:hAnsi="宋体" w:eastAsia="宋体" w:cs="宋体"/>
          <w:color w:val="000000" w:themeColor="text1"/>
          <w:sz w:val="24"/>
          <w:szCs w:val="24"/>
          <w:highlight w:val="none"/>
          <w:lang w:val="en-US" w:eastAsia="zh-CN"/>
          <w14:textFill>
            <w14:solidFill>
              <w14:schemeClr w14:val="tx1"/>
            </w14:solidFill>
          </w14:textFill>
        </w:rPr>
        <w:t>运输</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default" w:ascii="宋体" w:hAnsi="宋体" w:eastAsia="宋体" w:cs="宋体"/>
          <w:color w:val="000000" w:themeColor="text1"/>
          <w:sz w:val="24"/>
          <w:szCs w:val="24"/>
          <w:highlight w:val="none"/>
          <w:lang w:val="en-US" w:eastAsia="zh-CN"/>
          <w14:textFill>
            <w14:solidFill>
              <w14:schemeClr w14:val="tx1"/>
            </w14:solidFill>
          </w14:textFill>
        </w:rPr>
        <w:t>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w:t>
      </w:r>
      <w:r>
        <w:rPr>
          <w:rFonts w:hint="default" w:ascii="宋体" w:hAnsi="宋体" w:eastAsia="宋体" w:cs="宋体"/>
          <w:color w:val="000000" w:themeColor="text1"/>
          <w:sz w:val="24"/>
          <w:szCs w:val="24"/>
          <w:highlight w:val="none"/>
          <w:lang w:val="en-US" w:eastAsia="zh-CN"/>
          <w14:textFill>
            <w14:solidFill>
              <w14:schemeClr w14:val="tx1"/>
            </w14:solidFill>
          </w14:textFill>
        </w:rPr>
        <w:t>：由乙方自备交通运输工具将设备运至合同约定地点，并负责设备装卸</w:t>
      </w:r>
      <w:r>
        <w:rPr>
          <w:rFonts w:hint="eastAsia" w:ascii="宋体" w:hAnsi="宋体" w:eastAsia="宋体" w:cs="宋体"/>
          <w:color w:val="000000" w:themeColor="text1"/>
          <w:sz w:val="24"/>
          <w:szCs w:val="24"/>
          <w:highlight w:val="none"/>
          <w:lang w:val="en-US" w:eastAsia="zh-CN"/>
          <w14:textFill>
            <w14:solidFill>
              <w14:schemeClr w14:val="tx1"/>
            </w14:solidFill>
          </w14:textFill>
        </w:rPr>
        <w:t>、搬运的人工及费用</w:t>
      </w:r>
      <w:r>
        <w:rPr>
          <w:rFonts w:hint="default" w:ascii="宋体" w:hAnsi="宋体" w:eastAsia="宋体" w:cs="宋体"/>
          <w:color w:val="000000" w:themeColor="text1"/>
          <w:sz w:val="24"/>
          <w:szCs w:val="24"/>
          <w:highlight w:val="none"/>
          <w:lang w:val="en-US" w:eastAsia="zh-CN"/>
          <w14:textFill>
            <w14:solidFill>
              <w14:schemeClr w14:val="tx1"/>
            </w14:solidFill>
          </w14:textFill>
        </w:rPr>
        <w:t>。</w:t>
      </w:r>
    </w:p>
    <w:p w14:paraId="045D37A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第三条 质量标准、质量验收、包装要求</w:t>
      </w:r>
    </w:p>
    <w:p w14:paraId="1423013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 质量标准：乙方提供设备的质量、安装应符合或优于国家标准；如投标文件/响应文件中的技术参数和质量标准高于国家标准，则设备的技术参数和质量标准以投标文件/响应文件为准。</w:t>
      </w:r>
    </w:p>
    <w:p w14:paraId="620468B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3.2 质量验收：以本合同约定标准按以下方式进行验收： </w:t>
      </w:r>
    </w:p>
    <w:p w14:paraId="214CBE19">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3.2.1 到货验收：乙方将设备运至指定交货地点后，应通知甲方，并向甲方提供厂家标准资料文件（进口设备需提供真实有效的海关报关单，其他设备需提供产品合格证）和原厂售后质保承诺书。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日内无条件予以更换。</w:t>
      </w:r>
    </w:p>
    <w:p w14:paraId="76B8FDE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3.2.2 总体验收：乙方将设备全部拆包、安装、调试、培训后应及时通知甲方，甲方自接到乙方通知之日起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7</w:t>
      </w:r>
      <w:r>
        <w:rPr>
          <w:rFonts w:hint="eastAsia" w:ascii="宋体" w:hAnsi="宋体" w:eastAsia="宋体" w:cs="宋体"/>
          <w:color w:val="000000" w:themeColor="text1"/>
          <w:sz w:val="24"/>
          <w:szCs w:val="24"/>
          <w:highlight w:val="none"/>
          <w:lang w:val="en-US" w:eastAsia="zh-CN"/>
          <w14:textFill>
            <w14:solidFill>
              <w14:schemeClr w14:val="tx1"/>
            </w14:solidFill>
          </w14:textFill>
        </w:rPr>
        <w:t>日内无条件予以返工并承担所有费用。</w:t>
      </w:r>
    </w:p>
    <w:p w14:paraId="49AB8D9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14:paraId="3154045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 包装要求：乙方提供的设备必须为原厂包装，外包装到货时应保证完好无损，否则甲方有权拒绝收货，由此造成的延期交货违约责任和一切经济损失全部由乙方承担。</w:t>
      </w:r>
    </w:p>
    <w:p w14:paraId="413E9CE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第四条 安装、培训等事项</w:t>
      </w:r>
    </w:p>
    <w:p w14:paraId="1459B71C">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4.1 甲方负责协调、处理与安装、调试有关事宜，为乙方创造良好的安装、调试环境。</w:t>
      </w:r>
    </w:p>
    <w:p w14:paraId="6BC984E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4.2 甲方委派</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杨娟  </w:t>
      </w:r>
      <w:r>
        <w:rPr>
          <w:rFonts w:hint="eastAsia" w:ascii="宋体" w:hAnsi="宋体" w:eastAsia="宋体" w:cs="宋体"/>
          <w:color w:val="000000" w:themeColor="text1"/>
          <w:sz w:val="24"/>
          <w:szCs w:val="24"/>
          <w:highlight w:val="none"/>
          <w:lang w:val="en-US" w:eastAsia="zh-CN"/>
          <w14:textFill>
            <w14:solidFill>
              <w14:schemeClr w14:val="tx1"/>
            </w14:solidFill>
          </w14:textFill>
        </w:rPr>
        <w:t>作为代表，跟踪、检查安装、调试现场。</w:t>
      </w:r>
    </w:p>
    <w:p w14:paraId="1649E6E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 乙方负责对甲方的操作人员进行免费培训。</w:t>
      </w:r>
    </w:p>
    <w:p w14:paraId="327836E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4.4 乙方在安装、调试过程中应加强操作人员的安全教育，杜绝安全事故的发生。 </w:t>
      </w:r>
    </w:p>
    <w:p w14:paraId="2406FFF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第五条 售后服务</w:t>
      </w:r>
    </w:p>
    <w:p w14:paraId="4719B5F8">
      <w:pPr>
        <w:keepNext w:val="0"/>
        <w:keepLines w:val="0"/>
        <w:pageBreakBefore w:val="0"/>
        <w:widowControl/>
        <w:numPr>
          <w:ilvl w:val="-1"/>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5.1 本合同设备质保期为</w:t>
      </w:r>
      <w:r>
        <w:rPr>
          <w:rFonts w:hint="eastAsia" w:ascii="宋体" w:hAnsi="宋体" w:cs="宋体"/>
          <w:color w:val="000000" w:themeColor="text1"/>
          <w:sz w:val="24"/>
          <w:szCs w:val="24"/>
          <w:highlight w:val="none"/>
          <w:u w:val="singl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val="en-US" w:eastAsia="zh-CN"/>
          <w14:textFill>
            <w14:solidFill>
              <w14:schemeClr w14:val="tx1"/>
            </w14:solidFill>
          </w14:textFill>
        </w:rPr>
        <w:t>年，自甲方在总体验收报告单上签字确认合格之日起开始计算。</w:t>
      </w:r>
    </w:p>
    <w:p w14:paraId="71BBF1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5.2 </w:t>
      </w:r>
      <w:r>
        <w:rPr>
          <w:rFonts w:hint="eastAsia" w:ascii="宋体" w:hAnsi="宋体" w:eastAsia="宋体" w:cs="宋体"/>
          <w:color w:val="000000" w:themeColor="text1"/>
          <w:sz w:val="24"/>
          <w:highlight w:val="none"/>
          <w14:textFill>
            <w14:solidFill>
              <w14:schemeClr w14:val="tx1"/>
            </w14:solidFill>
          </w14:textFill>
        </w:rPr>
        <w:t>乙方在质保期内免费提供维修、更换、保养、咨询等服务。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如设备在</w:t>
      </w:r>
      <w:r>
        <w:rPr>
          <w:rFonts w:hint="eastAsia" w:ascii="宋体" w:hAnsi="宋体" w:eastAsia="宋体" w:cs="宋体"/>
          <w:color w:val="000000" w:themeColor="text1"/>
          <w:sz w:val="24"/>
          <w:highlight w:val="none"/>
          <w14:textFill>
            <w14:solidFill>
              <w14:schemeClr w14:val="tx1"/>
            </w14:solidFill>
          </w14:textFill>
        </w:rPr>
        <w:t>质</w:t>
      </w:r>
      <w:r>
        <w:rPr>
          <w:rFonts w:hint="eastAsia" w:ascii="宋体" w:hAnsi="宋体" w:eastAsia="宋体" w:cs="宋体"/>
          <w:color w:val="000000" w:themeColor="text1"/>
          <w:sz w:val="24"/>
          <w:szCs w:val="24"/>
          <w:highlight w:val="none"/>
          <w:lang w:val="en-US" w:eastAsia="zh-CN"/>
          <w14:textFill>
            <w14:solidFill>
              <w14:schemeClr w14:val="tx1"/>
            </w14:solidFill>
          </w14:textFill>
        </w:rPr>
        <w:t>保期内出现质量问题，乙方应在接到甲方通知（包括电话通知）后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p>
    <w:p w14:paraId="6AF3F2E2">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小时内赶到甲方提供服务，相关费用由乙方承担。如乙方不及时提供服务，甲方有权委托第三方提供</w:t>
      </w:r>
      <w:r>
        <w:rPr>
          <w:rFonts w:hint="eastAsia" w:ascii="宋体" w:hAnsi="宋体" w:eastAsia="宋体" w:cs="宋体"/>
          <w:color w:val="000000" w:themeColor="text1"/>
          <w:sz w:val="24"/>
          <w:highlight w:val="none"/>
          <w14:textFill>
            <w14:solidFill>
              <w14:schemeClr w14:val="tx1"/>
            </w14:solidFill>
          </w14:textFill>
        </w:rPr>
        <w:t>维修、更换、保养、咨询等服务</w:t>
      </w:r>
      <w:r>
        <w:rPr>
          <w:rFonts w:hint="eastAsia" w:ascii="宋体" w:hAnsi="宋体" w:eastAsia="宋体" w:cs="宋体"/>
          <w:color w:val="000000" w:themeColor="text1"/>
          <w:sz w:val="24"/>
          <w:szCs w:val="24"/>
          <w:highlight w:val="none"/>
          <w:lang w:val="en-US" w:eastAsia="zh-CN"/>
          <w14:textFill>
            <w14:solidFill>
              <w14:schemeClr w14:val="tx1"/>
            </w14:solidFill>
          </w14:textFill>
        </w:rPr>
        <w:t>，由此产生的相关费用，甲方有权在应付款中扣除、不足部分由乙方另行补足，或要求乙方将第三方提供服务产生的相关费用直接支付给甲方。</w:t>
      </w:r>
    </w:p>
    <w:p w14:paraId="3C51479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479" w:leftChars="228" w:firstLine="0" w:firstLineChars="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5.3 质保期内，乙方每年至少对设备进行一次巡检并向甲方提交巡检记录。</w:t>
      </w:r>
    </w:p>
    <w:p w14:paraId="2C47A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5.4 质保期届满后，如设备出现问题，乙方应在接到甲方通知（包括电话通知）后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1 </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小时内响应，响应后</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小时上门服务，相关费用由甲方承担。</w:t>
      </w:r>
    </w:p>
    <w:p w14:paraId="4A8B924F">
      <w:pPr>
        <w:keepNext w:val="0"/>
        <w:keepLines w:val="0"/>
        <w:pageBreakBefore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5 </w:t>
      </w:r>
      <w:r>
        <w:rPr>
          <w:rFonts w:hint="eastAsia" w:ascii="宋体" w:hAnsi="宋体" w:eastAsia="宋体" w:cs="宋体"/>
          <w:color w:val="000000" w:themeColor="text1"/>
          <w:sz w:val="24"/>
          <w:szCs w:val="24"/>
          <w:highlight w:val="none"/>
          <w14:textFill>
            <w14:solidFill>
              <w14:schemeClr w14:val="tx1"/>
            </w14:solidFill>
          </w14:textFill>
        </w:rPr>
        <w:t>乙方须指派</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电话：</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专门负责与甲方联系售后服务事宜，如人员发生变动，应及时通知甲方。</w:t>
      </w:r>
    </w:p>
    <w:p w14:paraId="36FC344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第六条 付款时间、方式</w:t>
      </w:r>
    </w:p>
    <w:p w14:paraId="646DA01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6.1 甲方通过银行转账方式向乙方指定银行账户支付款项；甲方在总体验收报告单上签字确认合格之日起4个月内，向乙方支付</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合同约定总价款</w:t>
      </w:r>
      <w:r>
        <w:rPr>
          <w:rFonts w:hint="eastAsia" w:ascii="宋体" w:hAnsi="宋体" w:eastAsia="宋体" w:cs="宋体"/>
          <w:color w:val="000000" w:themeColor="text1"/>
          <w:sz w:val="24"/>
          <w:szCs w:val="24"/>
          <w:highlight w:val="none"/>
          <w:lang w:val="en-US" w:eastAsia="zh-CN"/>
          <w14:textFill>
            <w14:solidFill>
              <w14:schemeClr w14:val="tx1"/>
            </w14:solidFill>
          </w14:textFill>
        </w:rPr>
        <w:t>的90%；余款10%，甲方在质保期届满且不存在需被扣除情形之日起10个工作日内，免息支付给乙方。</w:t>
      </w:r>
    </w:p>
    <w:p w14:paraId="5127B05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color w:val="000000" w:themeColor="text1"/>
          <w:sz w:val="28"/>
          <w:szCs w:val="28"/>
          <w:highlight w:val="none"/>
          <w:u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6.2 乙方指定收款银行账户的开户名：</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开户银行：</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账号：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none"/>
          <w:lang w:val="en-US" w:eastAsia="zh-CN"/>
          <w14:textFill>
            <w14:solidFill>
              <w14:schemeClr w14:val="tx1"/>
            </w14:solidFill>
          </w14:textFill>
        </w:rPr>
        <w:t>。</w:t>
      </w:r>
      <w:r>
        <w:rPr>
          <w:rFonts w:hint="eastAsia" w:ascii="宋体" w:hAnsi="宋体"/>
          <w:color w:val="000000" w:themeColor="text1"/>
          <w:sz w:val="28"/>
          <w:szCs w:val="28"/>
          <w:highlight w:val="none"/>
          <w:u w:val="none"/>
          <w:lang w:val="en-US" w:eastAsia="zh-CN"/>
          <w14:textFill>
            <w14:solidFill>
              <w14:schemeClr w14:val="tx1"/>
            </w14:solidFill>
          </w14:textFill>
        </w:rPr>
        <w:t xml:space="preserve">  </w:t>
      </w:r>
    </w:p>
    <w:p w14:paraId="01B709D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6.3 乙方应在甲方首次付款前，向甲方提供以乙方自己名义开具的与本合同总价等额的增值税普通发票；如乙方未及时提供发票，甲方有权顺延付款，由此产生的责任均由乙方自行承担。</w:t>
      </w:r>
    </w:p>
    <w:p w14:paraId="1F56A6F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第七条 风险承担</w:t>
      </w:r>
    </w:p>
    <w:p w14:paraId="754DF06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4698240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7.2 本合同设备毁损、丢失的风险自甲方在总体验收报告单上签字确认合格后转移给甲方，此前设备的一切风险均由乙方承担。</w:t>
      </w:r>
    </w:p>
    <w:p w14:paraId="333D02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7.3 如甲方因乙方设备、质保服务等原因涉及纠纷、诉讼或被处以行政处罚，由乙方承担甲方因纠纷、诉讼、罚款等造成的全部经济损失。</w:t>
      </w:r>
    </w:p>
    <w:p w14:paraId="528C355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第八条 廉洁条款</w:t>
      </w:r>
    </w:p>
    <w:p w14:paraId="79DEBFF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both"/>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default" w:ascii="宋体" w:hAnsi="宋体" w:eastAsia="宋体" w:cs="宋体"/>
          <w:color w:val="000000" w:themeColor="text1"/>
          <w:sz w:val="24"/>
          <w:szCs w:val="24"/>
          <w:highlight w:val="none"/>
          <w:lang w:val="en-US" w:eastAsia="zh-CN"/>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491B802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default" w:ascii="宋体" w:hAnsi="宋体" w:eastAsia="宋体" w:cs="宋体"/>
          <w:b/>
          <w:bCs/>
          <w:color w:val="000000" w:themeColor="text1"/>
          <w:sz w:val="24"/>
          <w:szCs w:val="24"/>
          <w:highlight w:val="none"/>
          <w:lang w:val="en-US" w:eastAsia="zh-CN"/>
          <w14:textFill>
            <w14:solidFill>
              <w14:schemeClr w14:val="tx1"/>
            </w14:solidFill>
          </w14:textFill>
        </w:rPr>
        <w:t xml:space="preserve">8.2 </w:t>
      </w:r>
      <w:r>
        <w:rPr>
          <w:rFonts w:hint="default" w:ascii="宋体" w:hAnsi="宋体" w:eastAsia="宋体" w:cs="宋体"/>
          <w:b/>
          <w:bCs/>
          <w:color w:val="000000" w:themeColor="text1"/>
          <w:sz w:val="24"/>
          <w:szCs w:val="24"/>
          <w:highlight w:val="none"/>
          <w:u w:val="single"/>
          <w:lang w:val="en-US" w:eastAsia="zh-CN"/>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35BC308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第九条 保密条款</w:t>
      </w:r>
    </w:p>
    <w:p w14:paraId="3F9FBA91">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08F5AD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2EA2A4A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9.3 因乙方未履行本合同保密义务造成甲方或第三方损失的，由乙方承担全部赔偿责任。</w:t>
      </w:r>
    </w:p>
    <w:p w14:paraId="3AA711D6">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9.4 本合同保密条款在合同被认定无效、被撤销或终止、解除后仍然有效。</w:t>
      </w:r>
    </w:p>
    <w:p w14:paraId="46C3FAC6">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第十条 </w:t>
      </w:r>
      <w:r>
        <w:rPr>
          <w:rFonts w:hint="default" w:ascii="宋体" w:hAnsi="宋体" w:eastAsia="宋体" w:cs="宋体"/>
          <w:b/>
          <w:bCs/>
          <w:color w:val="000000" w:themeColor="text1"/>
          <w:sz w:val="24"/>
          <w:highlight w:val="none"/>
          <w:lang w:val="en-US" w:eastAsia="zh-CN"/>
          <w14:textFill>
            <w14:solidFill>
              <w14:schemeClr w14:val="tx1"/>
            </w14:solidFill>
          </w14:textFill>
        </w:rPr>
        <w:t>通知</w:t>
      </w:r>
      <w:r>
        <w:rPr>
          <w:rFonts w:hint="eastAsia" w:ascii="宋体" w:hAnsi="宋体" w:eastAsia="宋体" w:cs="宋体"/>
          <w:b/>
          <w:bCs/>
          <w:color w:val="000000" w:themeColor="text1"/>
          <w:sz w:val="24"/>
          <w:highlight w:val="none"/>
          <w:lang w:val="en-US" w:eastAsia="zh-CN"/>
          <w14:textFill>
            <w14:solidFill>
              <w14:schemeClr w14:val="tx1"/>
            </w14:solidFill>
          </w14:textFill>
        </w:rPr>
        <w:t>与送达</w:t>
      </w:r>
    </w:p>
    <w:p w14:paraId="0AAE221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10.1 甲乙双方同意，与本合同有关的任何文书，应以书面方式按照本合同约定发送，书面方式包括手机短信、微信、书面函件、电子邮件等形式。</w:t>
      </w:r>
    </w:p>
    <w:p w14:paraId="78CE9AB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10.2 双方确认的文书（包括未来可能发生的诉讼或仲裁活动中法院或仲裁机构的送达法律文书）送达地址：</w:t>
      </w:r>
    </w:p>
    <w:p w14:paraId="0ACFBC09">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10.2.1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甲方的联系地址：</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娄底市娄星区</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长青中街51号</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娄底市中心医院设备科</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朱振宇</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7248283@qq.com</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15673845559</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1A5573A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 xml:space="preserve">10.2.2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乙方的联系地址：</w:t>
      </w:r>
      <w:r>
        <w:rPr>
          <w:rFonts w:hint="default"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，联系人：</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联系电话：</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，邮箱地址</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或微信号</w:t>
      </w:r>
      <w:r>
        <w:rPr>
          <w:rFonts w:hint="eastAsia" w:ascii="宋体" w:hAnsi="宋体" w:eastAsia="宋体" w:cs="宋体"/>
          <w:b w:val="0"/>
          <w:bCs w:val="0"/>
          <w:color w:val="000000" w:themeColor="text1"/>
          <w:sz w:val="24"/>
          <w:highlight w:val="none"/>
          <w:lang w:val="en-US" w:eastAsia="zh-CN"/>
          <w14:textFill>
            <w14:solidFill>
              <w14:schemeClr w14:val="tx1"/>
            </w14:solidFill>
          </w14:textFill>
        </w:rPr>
        <w:t>：</w:t>
      </w:r>
      <w:r>
        <w:rPr>
          <w:rFonts w:hint="eastAsia" w:ascii="宋体" w:hAnsi="宋体" w:eastAsia="宋体" w:cs="宋体"/>
          <w:b w:val="0"/>
          <w:bCs w:val="0"/>
          <w:color w:val="000000" w:themeColor="text1"/>
          <w:sz w:val="24"/>
          <w:highlight w:val="none"/>
          <w:u w:val="single"/>
          <w:lang w:val="en-US" w:eastAsia="zh-CN"/>
          <w14:textFill>
            <w14:solidFill>
              <w14:schemeClr w14:val="tx1"/>
            </w14:solidFill>
          </w14:textFill>
        </w:rPr>
        <w:t xml:space="preserve">          </w:t>
      </w:r>
      <w:r>
        <w:rPr>
          <w:rFonts w:hint="default" w:ascii="宋体" w:hAnsi="宋体" w:eastAsia="宋体" w:cs="宋体"/>
          <w:b w:val="0"/>
          <w:bCs w:val="0"/>
          <w:color w:val="000000" w:themeColor="text1"/>
          <w:sz w:val="24"/>
          <w:highlight w:val="none"/>
          <w:lang w:val="en-US" w:eastAsia="zh-CN"/>
          <w14:textFill>
            <w14:solidFill>
              <w14:schemeClr w14:val="tx1"/>
            </w14:solidFill>
          </w14:textFill>
        </w:rPr>
        <w:t>。</w:t>
      </w:r>
    </w:p>
    <w:p w14:paraId="0BB86E3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0013CE24">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b w:val="0"/>
          <w:bCs w:val="0"/>
          <w:color w:val="000000" w:themeColor="text1"/>
          <w:sz w:val="24"/>
          <w:highlight w:val="none"/>
          <w:lang w:val="en-US" w:eastAsia="zh-CN"/>
          <w14:textFill>
            <w14:solidFill>
              <w14:schemeClr w14:val="tx1"/>
            </w14:solidFill>
          </w14:textFill>
        </w:rPr>
      </w:pPr>
      <w:r>
        <w:rPr>
          <w:rFonts w:hint="eastAsia" w:ascii="宋体" w:hAnsi="宋体" w:eastAsia="宋体" w:cs="宋体"/>
          <w:b w:val="0"/>
          <w:bCs w:val="0"/>
          <w:color w:val="000000" w:themeColor="text1"/>
          <w:sz w:val="24"/>
          <w:highlight w:val="none"/>
          <w:lang w:val="en-US" w:eastAsia="zh-CN"/>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1A76B42C">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lang w:val="en-US" w:eastAsia="zh-CN"/>
          <w14:textFill>
            <w14:solidFill>
              <w14:schemeClr w14:val="tx1"/>
            </w14:solidFill>
          </w14:textFill>
        </w:rPr>
      </w:pPr>
      <w:r>
        <w:rPr>
          <w:rFonts w:hint="eastAsia" w:ascii="宋体" w:hAnsi="宋体" w:eastAsia="宋体" w:cs="宋体"/>
          <w:b/>
          <w:bCs/>
          <w:color w:val="000000" w:themeColor="text1"/>
          <w:sz w:val="24"/>
          <w:highlight w:val="none"/>
          <w:lang w:eastAsia="zh-CN"/>
          <w14:textFill>
            <w14:solidFill>
              <w14:schemeClr w14:val="tx1"/>
            </w14:solidFill>
          </w14:textFill>
        </w:rPr>
        <w:t>第十</w:t>
      </w:r>
      <w:r>
        <w:rPr>
          <w:rFonts w:hint="eastAsia" w:ascii="宋体" w:hAnsi="宋体" w:eastAsia="宋体" w:cs="宋体"/>
          <w:b/>
          <w:bCs/>
          <w:color w:val="000000" w:themeColor="text1"/>
          <w:sz w:val="24"/>
          <w:highlight w:val="none"/>
          <w:lang w:val="en-US" w:eastAsia="zh-CN"/>
          <w14:textFill>
            <w14:solidFill>
              <w14:schemeClr w14:val="tx1"/>
            </w14:solidFill>
          </w14:textFill>
        </w:rPr>
        <w:t>一</w:t>
      </w:r>
      <w:r>
        <w:rPr>
          <w:rFonts w:hint="eastAsia" w:ascii="宋体" w:hAnsi="宋体" w:eastAsia="宋体" w:cs="宋体"/>
          <w:b/>
          <w:bCs/>
          <w:color w:val="000000" w:themeColor="text1"/>
          <w:sz w:val="24"/>
          <w:highlight w:val="none"/>
          <w:lang w:eastAsia="zh-CN"/>
          <w14:textFill>
            <w14:solidFill>
              <w14:schemeClr w14:val="tx1"/>
            </w14:solidFill>
          </w14:textFill>
        </w:rPr>
        <w:t>条</w:t>
      </w:r>
      <w:r>
        <w:rPr>
          <w:rFonts w:hint="eastAsia" w:ascii="宋体" w:hAnsi="宋体" w:eastAsia="宋体" w:cs="宋体"/>
          <w:b/>
          <w:bCs/>
          <w:color w:val="000000" w:themeColor="text1"/>
          <w:sz w:val="24"/>
          <w:highlight w:val="none"/>
          <w:lang w:val="en-US" w:eastAsia="zh-CN"/>
          <w14:textFill>
            <w14:solidFill>
              <w14:schemeClr w14:val="tx1"/>
            </w14:solidFill>
          </w14:textFill>
        </w:rPr>
        <w:t xml:space="preserve"> 合同的变更、解除</w:t>
      </w:r>
    </w:p>
    <w:p w14:paraId="3C2246D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11.1 本合同经双方协商一致后可以变更，双方应另行签订补充协议。</w:t>
      </w:r>
    </w:p>
    <w:p w14:paraId="1D2D7FC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11.2 如甲方因政策变化等非自身主观原因不需要购买本合同全部设备，经书面通知乙方后可以提前终止本合同；如甲方因运营需要等原因不需要购买本合同部分设备，不需要购买的部分自动从采购内容中剔除。</w:t>
      </w:r>
    </w:p>
    <w:p w14:paraId="408FE88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11.3 </w:t>
      </w:r>
      <w:r>
        <w:rPr>
          <w:rFonts w:hint="eastAsia" w:ascii="宋体" w:hAnsi="宋体" w:eastAsia="宋体" w:cs="宋体"/>
          <w:color w:val="000000" w:themeColor="text1"/>
          <w:sz w:val="24"/>
          <w:highlight w:val="none"/>
          <w14:textFill>
            <w14:solidFill>
              <w14:schemeClr w14:val="tx1"/>
            </w14:solidFill>
          </w14:textFill>
        </w:rPr>
        <w:t>乙方出现以下违约情形之一的，甲方有权拒绝支付任何价款并解除合同：</w:t>
      </w:r>
    </w:p>
    <w:p w14:paraId="766ED0C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.1 乙方逾期</w:t>
      </w:r>
      <w:r>
        <w:rPr>
          <w:rFonts w:hint="eastAsia" w:ascii="宋体" w:hAnsi="宋体" w:eastAsia="宋体" w:cs="宋体"/>
          <w:color w:val="000000" w:themeColor="text1"/>
          <w:sz w:val="24"/>
          <w:highlight w:val="none"/>
          <w:u w:val="single"/>
          <w14:textFill>
            <w14:solidFill>
              <w14:schemeClr w14:val="tx1"/>
            </w14:solidFill>
          </w14:textFill>
        </w:rPr>
        <w:t>30</w:t>
      </w:r>
      <w:r>
        <w:rPr>
          <w:rFonts w:hint="eastAsia" w:ascii="宋体" w:hAnsi="宋体" w:eastAsia="宋体" w:cs="宋体"/>
          <w:color w:val="000000" w:themeColor="text1"/>
          <w:sz w:val="24"/>
          <w:highlight w:val="none"/>
          <w14:textFill>
            <w14:solidFill>
              <w14:schemeClr w14:val="tx1"/>
            </w14:solidFill>
          </w14:textFill>
        </w:rPr>
        <w:t>日仍不能供货；</w:t>
      </w:r>
    </w:p>
    <w:p w14:paraId="5A7899B3">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.2 乙方提供的设备质量不符合国家标准、本合同标准或</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响应文件约定标准；</w:t>
      </w:r>
    </w:p>
    <w:p w14:paraId="3C29BE5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.3 乙方将</w:t>
      </w:r>
      <w:r>
        <w:rPr>
          <w:rFonts w:hint="eastAsia" w:ascii="宋体" w:hAnsi="宋体" w:eastAsia="宋体" w:cs="宋体"/>
          <w:color w:val="000000" w:themeColor="text1"/>
          <w:sz w:val="24"/>
          <w:highlight w:val="none"/>
          <w:lang w:val="en-US" w:eastAsia="zh-CN"/>
          <w14:textFill>
            <w14:solidFill>
              <w14:schemeClr w14:val="tx1"/>
            </w14:solidFill>
          </w14:textFill>
        </w:rPr>
        <w:t>本合同权利义务全部或部分转让给</w:t>
      </w:r>
      <w:r>
        <w:rPr>
          <w:rFonts w:hint="eastAsia" w:ascii="宋体" w:hAnsi="宋体" w:eastAsia="宋体" w:cs="宋体"/>
          <w:color w:val="000000" w:themeColor="text1"/>
          <w:sz w:val="24"/>
          <w:highlight w:val="none"/>
          <w14:textFill>
            <w14:solidFill>
              <w14:schemeClr w14:val="tx1"/>
            </w14:solidFill>
          </w14:textFill>
        </w:rPr>
        <w:t>第三方；</w:t>
      </w:r>
    </w:p>
    <w:p w14:paraId="1E57C89F">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11</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3</w:t>
      </w:r>
      <w:r>
        <w:rPr>
          <w:rFonts w:hint="eastAsia" w:ascii="宋体" w:hAnsi="宋体" w:eastAsia="宋体" w:cs="宋体"/>
          <w:color w:val="000000" w:themeColor="text1"/>
          <w:sz w:val="24"/>
          <w:highlight w:val="none"/>
          <w14:textFill>
            <w14:solidFill>
              <w14:schemeClr w14:val="tx1"/>
            </w14:solidFill>
          </w14:textFill>
        </w:rPr>
        <w:t>.4 其他根本违约的情形。</w:t>
      </w:r>
    </w:p>
    <w:p w14:paraId="5D6A838D">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eastAsia="宋体" w:cs="宋体"/>
          <w:b/>
          <w:bCs/>
          <w:color w:val="000000" w:themeColor="text1"/>
          <w:sz w:val="24"/>
          <w:highlight w:val="none"/>
          <w:lang w:eastAsia="zh-CN"/>
          <w14:textFill>
            <w14:solidFill>
              <w14:schemeClr w14:val="tx1"/>
            </w14:solidFill>
          </w14:textFill>
        </w:rPr>
        <w:t>十</w:t>
      </w:r>
      <w:r>
        <w:rPr>
          <w:rFonts w:hint="eastAsia" w:ascii="宋体" w:hAnsi="宋体" w:eastAsia="宋体" w:cs="宋体"/>
          <w:b/>
          <w:bCs/>
          <w:color w:val="000000" w:themeColor="text1"/>
          <w:sz w:val="24"/>
          <w:highlight w:val="none"/>
          <w:lang w:val="en-US" w:eastAsia="zh-CN"/>
          <w14:textFill>
            <w14:solidFill>
              <w14:schemeClr w14:val="tx1"/>
            </w14:solidFill>
          </w14:textFill>
        </w:rPr>
        <w:t>二</w:t>
      </w:r>
      <w:r>
        <w:rPr>
          <w:rFonts w:hint="eastAsia" w:ascii="宋体" w:hAnsi="宋体" w:eastAsia="宋体" w:cs="宋体"/>
          <w:b/>
          <w:bCs/>
          <w:color w:val="000000" w:themeColor="text1"/>
          <w:sz w:val="24"/>
          <w:highlight w:val="none"/>
          <w14:textFill>
            <w14:solidFill>
              <w14:schemeClr w14:val="tx1"/>
            </w14:solidFill>
          </w14:textFill>
        </w:rPr>
        <w:t>条 违约责任</w:t>
      </w:r>
    </w:p>
    <w:p w14:paraId="73DDACD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 xml:space="preserve">.1 </w:t>
      </w:r>
      <w:r>
        <w:rPr>
          <w:rFonts w:hint="eastAsia" w:ascii="宋体" w:hAnsi="宋体" w:eastAsia="宋体" w:cs="宋体"/>
          <w:color w:val="000000" w:themeColor="text1"/>
          <w:sz w:val="24"/>
          <w:highlight w:val="none"/>
          <w:lang w:eastAsia="zh-CN"/>
          <w14:textFill>
            <w14:solidFill>
              <w14:schemeClr w14:val="tx1"/>
            </w14:solidFill>
          </w14:textFill>
        </w:rPr>
        <w:t>甲方因</w:t>
      </w:r>
      <w:r>
        <w:rPr>
          <w:rFonts w:hint="eastAsia" w:ascii="宋体" w:hAnsi="宋体" w:eastAsia="宋体" w:cs="宋体"/>
          <w:color w:val="000000" w:themeColor="text1"/>
          <w:sz w:val="24"/>
          <w:highlight w:val="none"/>
          <w:lang w:val="en-US" w:eastAsia="zh-CN"/>
          <w14:textFill>
            <w14:solidFill>
              <w14:schemeClr w14:val="tx1"/>
            </w14:solidFill>
          </w14:textFill>
        </w:rPr>
        <w:t>11.2情形提前终止本合同或剔除部分采购内容均无须承担违约责任，乙方不得因此要求甲方予以任何经济赔偿或补偿。</w:t>
      </w:r>
    </w:p>
    <w:p w14:paraId="66F3948C">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.2 如乙方未在本合同约定时间内将验收合格的</w:t>
      </w:r>
      <w:r>
        <w:rPr>
          <w:rFonts w:hint="eastAsia" w:ascii="宋体" w:hAnsi="宋体" w:eastAsia="宋体" w:cs="宋体"/>
          <w:color w:val="000000" w:themeColor="text1"/>
          <w:sz w:val="24"/>
          <w:highlight w:val="none"/>
          <w:lang w:val="en-US" w:eastAsia="zh-CN"/>
          <w14:textFill>
            <w14:solidFill>
              <w14:schemeClr w14:val="tx1"/>
            </w14:solidFill>
          </w14:textFill>
        </w:rPr>
        <w:t>设备</w:t>
      </w:r>
      <w:r>
        <w:rPr>
          <w:rFonts w:hint="eastAsia" w:ascii="宋体" w:hAnsi="宋体" w:eastAsia="宋体" w:cs="宋体"/>
          <w:color w:val="000000" w:themeColor="text1"/>
          <w:sz w:val="24"/>
          <w:highlight w:val="none"/>
          <w14:textFill>
            <w14:solidFill>
              <w14:schemeClr w14:val="tx1"/>
            </w14:solidFill>
          </w14:textFill>
        </w:rPr>
        <w:t>交付给甲方使用，除应赔偿甲方因此造成的损失外，每逾期一日，按</w:t>
      </w:r>
      <w:r>
        <w:rPr>
          <w:rFonts w:hint="eastAsia" w:ascii="宋体" w:hAnsi="宋体" w:eastAsia="宋体" w:cs="宋体"/>
          <w:color w:val="000000" w:themeColor="text1"/>
          <w:sz w:val="24"/>
          <w:highlight w:val="none"/>
          <w:u w:val="none"/>
          <w14:textFill>
            <w14:solidFill>
              <w14:schemeClr w14:val="tx1"/>
            </w14:solidFill>
          </w14:textFill>
        </w:rPr>
        <w:t>本合同约定总价款的</w:t>
      </w:r>
      <w:r>
        <w:rPr>
          <w:rFonts w:hint="eastAsia" w:ascii="宋体" w:hAnsi="宋体" w:eastAsia="宋体" w:cs="宋体"/>
          <w:color w:val="000000" w:themeColor="text1"/>
          <w:sz w:val="24"/>
          <w:highlight w:val="none"/>
          <w:u w:val="none"/>
          <w:lang w:eastAsia="zh-CN"/>
          <w14:textFill>
            <w14:solidFill>
              <w14:schemeClr w14:val="tx1"/>
            </w14:solidFill>
          </w14:textFill>
        </w:rPr>
        <w:t>千分之一</w:t>
      </w:r>
      <w:r>
        <w:rPr>
          <w:rFonts w:hint="eastAsia" w:ascii="宋体" w:hAnsi="宋体" w:eastAsia="宋体" w:cs="宋体"/>
          <w:color w:val="000000" w:themeColor="text1"/>
          <w:sz w:val="24"/>
          <w:highlight w:val="none"/>
          <w:lang w:eastAsia="zh-CN"/>
          <w14:textFill>
            <w14:solidFill>
              <w14:schemeClr w14:val="tx1"/>
            </w14:solidFill>
          </w14:textFill>
        </w:rPr>
        <w:t>标准</w:t>
      </w:r>
      <w:r>
        <w:rPr>
          <w:rFonts w:hint="eastAsia" w:ascii="宋体" w:hAnsi="宋体" w:eastAsia="宋体" w:cs="宋体"/>
          <w:color w:val="000000" w:themeColor="text1"/>
          <w:sz w:val="24"/>
          <w:highlight w:val="none"/>
          <w14:textFill>
            <w14:solidFill>
              <w14:schemeClr w14:val="tx1"/>
            </w14:solidFill>
          </w14:textFill>
        </w:rPr>
        <w:t>向甲方支付违约金。</w:t>
      </w:r>
    </w:p>
    <w:p w14:paraId="783A9BB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12</w:t>
      </w:r>
      <w:r>
        <w:rPr>
          <w:rFonts w:hint="eastAsia" w:ascii="宋体" w:hAnsi="宋体" w:eastAsia="宋体" w:cs="宋体"/>
          <w:color w:val="000000" w:themeColor="text1"/>
          <w:sz w:val="24"/>
          <w:highlight w:val="none"/>
          <w14:textFill>
            <w14:solidFill>
              <w14:schemeClr w14:val="tx1"/>
            </w14:solidFill>
          </w14:textFill>
        </w:rPr>
        <w:t>.3 如乙方单方解除合同或甲方因</w:t>
      </w:r>
      <w:r>
        <w:rPr>
          <w:rFonts w:hint="eastAsia" w:ascii="宋体" w:hAnsi="宋体" w:eastAsia="宋体" w:cs="宋体"/>
          <w:color w:val="000000" w:themeColor="text1"/>
          <w:sz w:val="24"/>
          <w:highlight w:val="none"/>
          <w:lang w:val="en-US" w:eastAsia="zh-CN"/>
          <w14:textFill>
            <w14:solidFill>
              <w14:schemeClr w14:val="tx1"/>
            </w14:solidFill>
          </w14:textFill>
        </w:rPr>
        <w:t>11.3情形</w:t>
      </w:r>
      <w:r>
        <w:rPr>
          <w:rFonts w:hint="eastAsia" w:ascii="宋体" w:hAnsi="宋体" w:eastAsia="宋体" w:cs="宋体"/>
          <w:color w:val="000000" w:themeColor="text1"/>
          <w:sz w:val="24"/>
          <w:highlight w:val="none"/>
          <w14:textFill>
            <w14:solidFill>
              <w14:schemeClr w14:val="tx1"/>
            </w14:solidFill>
          </w14:textFill>
        </w:rPr>
        <w:t>解除合同，乙方应赔偿给甲方造成的全部经济损失，并按</w:t>
      </w:r>
      <w:r>
        <w:rPr>
          <w:rFonts w:hint="eastAsia" w:ascii="宋体" w:hAnsi="宋体" w:eastAsia="宋体" w:cs="宋体"/>
          <w:color w:val="000000" w:themeColor="text1"/>
          <w:sz w:val="24"/>
          <w:highlight w:val="none"/>
          <w:u w:val="none"/>
          <w14:textFill>
            <w14:solidFill>
              <w14:schemeClr w14:val="tx1"/>
            </w14:solidFill>
          </w14:textFill>
        </w:rPr>
        <w:t>本合同总价款30%</w:t>
      </w:r>
      <w:r>
        <w:rPr>
          <w:rFonts w:hint="eastAsia" w:ascii="宋体" w:hAnsi="宋体" w:eastAsia="宋体" w:cs="宋体"/>
          <w:color w:val="000000" w:themeColor="text1"/>
          <w:sz w:val="24"/>
          <w:highlight w:val="none"/>
          <w14:textFill>
            <w14:solidFill>
              <w14:schemeClr w14:val="tx1"/>
            </w14:solidFill>
          </w14:textFill>
        </w:rPr>
        <w:t>标准</w:t>
      </w:r>
      <w:r>
        <w:rPr>
          <w:rFonts w:hint="eastAsia" w:ascii="宋体" w:hAnsi="宋体" w:eastAsia="宋体" w:cs="宋体"/>
          <w:color w:val="000000" w:themeColor="text1"/>
          <w:sz w:val="24"/>
          <w:highlight w:val="none"/>
          <w:lang w:val="en-US" w:eastAsia="zh-CN"/>
          <w14:textFill>
            <w14:solidFill>
              <w14:schemeClr w14:val="tx1"/>
            </w14:solidFill>
          </w14:textFill>
        </w:rPr>
        <w:t>向</w:t>
      </w:r>
      <w:r>
        <w:rPr>
          <w:rFonts w:hint="eastAsia" w:ascii="宋体" w:hAnsi="宋体" w:eastAsia="宋体" w:cs="宋体"/>
          <w:color w:val="000000" w:themeColor="text1"/>
          <w:sz w:val="24"/>
          <w:highlight w:val="none"/>
          <w14:textFill>
            <w14:solidFill>
              <w14:schemeClr w14:val="tx1"/>
            </w14:solidFill>
          </w14:textFill>
        </w:rPr>
        <w:t>甲方支付违约金。</w:t>
      </w:r>
    </w:p>
    <w:p w14:paraId="1F1D16D2">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jc w:val="both"/>
        <w:textAlignment w:val="auto"/>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u w:val="single"/>
          <w:lang w:val="en-US" w:eastAsia="zh-CN"/>
          <w14:textFill>
            <w14:solidFill>
              <w14:schemeClr w14:val="tx1"/>
            </w14:solidFill>
          </w14:textFill>
        </w:rPr>
        <w:t>12.4 无论甲方在任意时候（不限于本合同履行期间）发现存在违反本合同廉洁条款及供应商考核管理制度约定的行为，乙方均须向甲方一次性支付惩罚性违约金   .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3953561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color w:val="000000" w:themeColor="text1"/>
          <w:sz w:val="24"/>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24"/>
          <w:highlight w:val="none"/>
          <w:u w:val="single"/>
          <w:lang w:val="en-US" w:eastAsia="zh-CN"/>
          <w14:textFill>
            <w14:solidFill>
              <w14:schemeClr w14:val="tx1"/>
            </w14:solidFill>
          </w14:textFill>
        </w:rPr>
        <w:t>12.5 依据本合同约定乙方应支付给甲方的违约金，甲方有权在应支付给乙方的任意价款中直接予以扣除，如扣除部分不足，乙方应在接到甲方通知后3日内补足。</w:t>
      </w:r>
    </w:p>
    <w:p w14:paraId="0BE0C132">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w:t>
      </w:r>
      <w:r>
        <w:rPr>
          <w:rFonts w:hint="eastAsia" w:ascii="宋体" w:hAnsi="宋体" w:cs="宋体"/>
          <w:b/>
          <w:bCs/>
          <w:color w:val="000000" w:themeColor="text1"/>
          <w:sz w:val="24"/>
          <w:highlight w:val="none"/>
          <w:lang w:val="en-US" w:eastAsia="zh-CN"/>
          <w14:textFill>
            <w14:solidFill>
              <w14:schemeClr w14:val="tx1"/>
            </w14:solidFill>
          </w14:textFill>
        </w:rPr>
        <w:t>十三</w:t>
      </w:r>
      <w:r>
        <w:rPr>
          <w:rFonts w:hint="eastAsia" w:ascii="宋体" w:hAnsi="宋体" w:eastAsia="宋体" w:cs="宋体"/>
          <w:b/>
          <w:bCs/>
          <w:color w:val="000000" w:themeColor="text1"/>
          <w:sz w:val="24"/>
          <w:highlight w:val="none"/>
          <w14:textFill>
            <w14:solidFill>
              <w14:schemeClr w14:val="tx1"/>
            </w14:solidFill>
          </w14:textFill>
        </w:rPr>
        <w:t>条 争议解决</w:t>
      </w:r>
    </w:p>
    <w:p w14:paraId="2D2D073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13.1 本合同适用中华人民共和国法律，并按其解释。</w:t>
      </w:r>
    </w:p>
    <w:p w14:paraId="3487520D">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lang w:val="en-US" w:eastAsia="zh-CN"/>
          <w14:textFill>
            <w14:solidFill>
              <w14:schemeClr w14:val="tx1"/>
            </w14:solidFill>
          </w14:textFill>
        </w:rPr>
        <w:t xml:space="preserve">13.2 </w:t>
      </w:r>
      <w:r>
        <w:rPr>
          <w:rFonts w:hint="eastAsia" w:ascii="宋体" w:hAnsi="宋体" w:eastAsia="宋体" w:cs="宋体"/>
          <w:color w:val="000000" w:themeColor="text1"/>
          <w:sz w:val="24"/>
          <w:highlight w:val="none"/>
          <w14:textFill>
            <w14:solidFill>
              <w14:schemeClr w14:val="tx1"/>
            </w14:solidFill>
          </w14:textFill>
        </w:rPr>
        <w:t>如双方在履行本合同过程中发生争议，双方应先协商解决，协商解决不成的，任一方均可向甲方所在地有管辖权的人民法院提起诉讼解决。</w:t>
      </w:r>
    </w:p>
    <w:p w14:paraId="76EDD67B">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第十</w:t>
      </w:r>
      <w:r>
        <w:rPr>
          <w:rFonts w:hint="eastAsia" w:ascii="宋体" w:hAnsi="宋体" w:cs="宋体"/>
          <w:b/>
          <w:bCs/>
          <w:color w:val="000000" w:themeColor="text1"/>
          <w:sz w:val="24"/>
          <w:highlight w:val="none"/>
          <w:lang w:val="en-US" w:eastAsia="zh-CN"/>
          <w14:textFill>
            <w14:solidFill>
              <w14:schemeClr w14:val="tx1"/>
            </w14:solidFill>
          </w14:textFill>
        </w:rPr>
        <w:t>四</w:t>
      </w:r>
      <w:r>
        <w:rPr>
          <w:rFonts w:hint="eastAsia" w:ascii="宋体" w:hAnsi="宋体" w:eastAsia="宋体" w:cs="宋体"/>
          <w:b/>
          <w:bCs/>
          <w:color w:val="000000" w:themeColor="text1"/>
          <w:sz w:val="24"/>
          <w:highlight w:val="none"/>
          <w14:textFill>
            <w14:solidFill>
              <w14:schemeClr w14:val="tx1"/>
            </w14:solidFill>
          </w14:textFill>
        </w:rPr>
        <w:t>条 附则</w:t>
      </w:r>
    </w:p>
    <w:p w14:paraId="0F4C7BCE">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1</w:t>
      </w:r>
      <w:r>
        <w:rPr>
          <w:rFonts w:hint="eastAsia" w:ascii="宋体" w:hAnsi="宋体" w:eastAsia="宋体" w:cs="宋体"/>
          <w:color w:val="000000" w:themeColor="text1"/>
          <w:sz w:val="24"/>
          <w:highlight w:val="none"/>
          <w14:textFill>
            <w14:solidFill>
              <w14:schemeClr w14:val="tx1"/>
            </w14:solidFill>
          </w14:textFill>
        </w:rPr>
        <w:t xml:space="preserve"> 本合同组成文件和优先解释顺序：</w:t>
      </w:r>
      <w:r>
        <w:rPr>
          <w:rFonts w:hint="eastAsia" w:ascii="宋体" w:hAnsi="宋体" w:eastAsia="宋体" w:cs="宋体"/>
          <w:color w:val="000000" w:themeColor="text1"/>
          <w:sz w:val="24"/>
          <w:highlight w:val="none"/>
          <w:lang w:eastAsia="zh-CN"/>
          <w14:textFill>
            <w14:solidFill>
              <w14:schemeClr w14:val="tx1"/>
            </w14:solidFill>
          </w14:textFill>
        </w:rPr>
        <w:t>乙方在履行本合同中作出的书面承诺；</w:t>
      </w:r>
      <w:r>
        <w:rPr>
          <w:rFonts w:hint="eastAsia" w:ascii="宋体" w:hAnsi="宋体" w:eastAsia="宋体" w:cs="宋体"/>
          <w:color w:val="000000" w:themeColor="text1"/>
          <w:sz w:val="24"/>
          <w:highlight w:val="none"/>
          <w14:textFill>
            <w14:solidFill>
              <w14:schemeClr w14:val="tx1"/>
            </w14:solidFill>
          </w14:textFill>
        </w:rPr>
        <w:t>本合同补充协议；本合同及附件；</w:t>
      </w:r>
      <w:r>
        <w:rPr>
          <w:rFonts w:hint="eastAsia" w:ascii="宋体" w:hAnsi="宋体" w:eastAsia="宋体" w:cs="宋体"/>
          <w:color w:val="000000" w:themeColor="text1"/>
          <w:sz w:val="24"/>
          <w:highlight w:val="none"/>
          <w:lang w:eastAsia="zh-CN"/>
          <w14:textFill>
            <w14:solidFill>
              <w14:schemeClr w14:val="tx1"/>
            </w14:solidFill>
          </w14:textFill>
        </w:rPr>
        <w:t>中标通知书</w:t>
      </w:r>
      <w:r>
        <w:rPr>
          <w:rFonts w:hint="eastAsia" w:ascii="宋体" w:hAnsi="宋体" w:eastAsia="宋体" w:cs="宋体"/>
          <w:color w:val="000000" w:themeColor="text1"/>
          <w:sz w:val="24"/>
          <w:highlight w:val="none"/>
          <w:lang w:val="en-US" w:eastAsia="zh-CN"/>
          <w14:textFill>
            <w14:solidFill>
              <w14:schemeClr w14:val="tx1"/>
            </w14:solidFill>
          </w14:textFill>
        </w:rPr>
        <w:t>/成交通知书/</w:t>
      </w:r>
      <w:r>
        <w:rPr>
          <w:rFonts w:hint="eastAsia" w:ascii="宋体" w:hAnsi="宋体" w:eastAsia="宋体" w:cs="宋体"/>
          <w:color w:val="000000" w:themeColor="text1"/>
          <w:sz w:val="24"/>
          <w:highlight w:val="none"/>
          <w14:textFill>
            <w14:solidFill>
              <w14:schemeClr w14:val="tx1"/>
            </w14:solidFill>
          </w14:textFill>
        </w:rPr>
        <w:t>议价结果公示</w:t>
      </w:r>
      <w:r>
        <w:rPr>
          <w:rFonts w:hint="eastAsia" w:ascii="宋体" w:hAnsi="宋体" w:eastAsia="宋体" w:cs="宋体"/>
          <w:color w:val="000000" w:themeColor="text1"/>
          <w:sz w:val="24"/>
          <w:highlight w:val="none"/>
          <w:lang w:val="en-US" w:eastAsia="zh-CN"/>
          <w14:textFill>
            <w14:solidFill>
              <w14:schemeClr w14:val="tx1"/>
            </w14:solidFill>
          </w14:textFill>
        </w:rPr>
        <w:t>/成交公告</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eastAsia="zh-CN"/>
          <w14:textFill>
            <w14:solidFill>
              <w14:schemeClr w14:val="tx1"/>
            </w14:solidFill>
          </w14:textFill>
        </w:rPr>
        <w:t>投标文件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响应文件；</w:t>
      </w:r>
      <w:r>
        <w:rPr>
          <w:rFonts w:hint="eastAsia" w:ascii="宋体" w:hAnsi="宋体" w:eastAsia="宋体" w:cs="宋体"/>
          <w:color w:val="000000" w:themeColor="text1"/>
          <w:sz w:val="24"/>
          <w:highlight w:val="none"/>
          <w:lang w:eastAsia="zh-CN"/>
          <w14:textFill>
            <w14:solidFill>
              <w14:schemeClr w14:val="tx1"/>
            </w14:solidFill>
          </w14:textFill>
        </w:rPr>
        <w:t>招标文件</w:t>
      </w:r>
      <w:r>
        <w:rPr>
          <w:rFonts w:hint="eastAsia" w:ascii="宋体" w:hAnsi="宋体" w:eastAsia="宋体" w:cs="宋体"/>
          <w:color w:val="000000" w:themeColor="text1"/>
          <w:sz w:val="24"/>
          <w:highlight w:val="none"/>
          <w:lang w:val="en-US" w:eastAsia="zh-CN"/>
          <w14:textFill>
            <w14:solidFill>
              <w14:schemeClr w14:val="tx1"/>
            </w14:solidFill>
          </w14:textFill>
        </w:rPr>
        <w:t>/</w:t>
      </w:r>
      <w:r>
        <w:rPr>
          <w:rFonts w:hint="eastAsia" w:ascii="宋体" w:hAnsi="宋体" w:eastAsia="宋体" w:cs="宋体"/>
          <w:color w:val="000000" w:themeColor="text1"/>
          <w:sz w:val="24"/>
          <w:highlight w:val="none"/>
          <w14:textFill>
            <w14:solidFill>
              <w14:schemeClr w14:val="tx1"/>
            </w14:solidFill>
          </w14:textFill>
        </w:rPr>
        <w:t>采购文件</w:t>
      </w:r>
      <w:r>
        <w:rPr>
          <w:rFonts w:hint="eastAsia" w:ascii="宋体" w:hAnsi="宋体" w:eastAsia="宋体" w:cs="宋体"/>
          <w:color w:val="000000" w:themeColor="text1"/>
          <w:sz w:val="24"/>
          <w:highlight w:val="none"/>
          <w:lang w:val="en-US" w:eastAsia="zh-CN"/>
          <w14:textFill>
            <w14:solidFill>
              <w14:schemeClr w14:val="tx1"/>
            </w14:solidFill>
          </w14:textFill>
        </w:rPr>
        <w:t>/采购需求</w:t>
      </w:r>
      <w:r>
        <w:rPr>
          <w:rFonts w:hint="eastAsia" w:ascii="宋体" w:hAnsi="宋体" w:eastAsia="宋体" w:cs="宋体"/>
          <w:color w:val="000000" w:themeColor="text1"/>
          <w:sz w:val="24"/>
          <w:highlight w:val="none"/>
          <w14:textFill>
            <w14:solidFill>
              <w14:schemeClr w14:val="tx1"/>
            </w14:solidFill>
          </w14:textFill>
        </w:rPr>
        <w:t>；其他与本合同有关的资料。</w:t>
      </w:r>
    </w:p>
    <w:p w14:paraId="05049988">
      <w:pPr>
        <w:keepNext w:val="0"/>
        <w:keepLines w:val="0"/>
        <w:pageBreakBefore w:val="0"/>
        <w:kinsoku/>
        <w:wordWrap/>
        <w:overflowPunct/>
        <w:topLinePunct w:val="0"/>
        <w:autoSpaceDE/>
        <w:autoSpaceDN/>
        <w:bidi w:val="0"/>
        <w:adjustRightInd/>
        <w:snapToGrid/>
        <w:spacing w:line="440" w:lineRule="exact"/>
        <w:ind w:firstLine="480" w:firstLineChars="200"/>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1</w:t>
      </w:r>
      <w:r>
        <w:rPr>
          <w:rFonts w:hint="eastAsia" w:ascii="宋体" w:hAnsi="宋体" w:eastAsia="宋体" w:cs="宋体"/>
          <w:color w:val="000000" w:themeColor="text1"/>
          <w:sz w:val="24"/>
          <w:highlight w:val="none"/>
          <w:lang w:val="en-US" w:eastAsia="zh-CN"/>
          <w14:textFill>
            <w14:solidFill>
              <w14:schemeClr w14:val="tx1"/>
            </w14:solidFill>
          </w14:textFill>
        </w:rPr>
        <w:t>4</w:t>
      </w:r>
      <w:r>
        <w:rPr>
          <w:rFonts w:hint="eastAsia"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2</w:t>
      </w:r>
      <w:r>
        <w:rPr>
          <w:rFonts w:hint="eastAsia" w:ascii="宋体" w:hAnsi="宋体" w:eastAsia="宋体" w:cs="宋体"/>
          <w:color w:val="000000" w:themeColor="text1"/>
          <w:sz w:val="24"/>
          <w:highlight w:val="none"/>
          <w14:textFill>
            <w14:solidFill>
              <w14:schemeClr w14:val="tx1"/>
            </w14:solidFill>
          </w14:textFill>
        </w:rPr>
        <w:t xml:space="preserve"> 本合同一式伍份，甲方执肆份、乙方执壹份，自双方签字并盖章</w:t>
      </w:r>
      <w:r>
        <w:rPr>
          <w:rFonts w:hint="eastAsia" w:ascii="宋体" w:hAnsi="宋体" w:eastAsia="宋体" w:cs="宋体"/>
          <w:color w:val="000000" w:themeColor="text1"/>
          <w:sz w:val="24"/>
          <w:highlight w:val="none"/>
          <w:lang w:eastAsia="zh-CN"/>
          <w14:textFill>
            <w14:solidFill>
              <w14:schemeClr w14:val="tx1"/>
            </w14:solidFill>
          </w14:textFill>
        </w:rPr>
        <w:t>后</w:t>
      </w:r>
      <w:r>
        <w:rPr>
          <w:rFonts w:hint="eastAsia" w:ascii="宋体" w:hAnsi="宋体" w:eastAsia="宋体" w:cs="宋体"/>
          <w:color w:val="000000" w:themeColor="text1"/>
          <w:sz w:val="24"/>
          <w:highlight w:val="none"/>
          <w14:textFill>
            <w14:solidFill>
              <w14:schemeClr w14:val="tx1"/>
            </w14:solidFill>
          </w14:textFill>
        </w:rPr>
        <w:t>生效。</w:t>
      </w:r>
    </w:p>
    <w:p w14:paraId="2990285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甲方（盖章）：</w:t>
      </w:r>
      <w:r>
        <w:rPr>
          <w:rFonts w:hint="eastAsia" w:ascii="宋体" w:hAnsi="宋体" w:eastAsia="宋体" w:cs="宋体"/>
          <w:color w:val="000000" w:themeColor="text1"/>
          <w:sz w:val="24"/>
          <w:highlight w:val="none"/>
          <w14:textFill>
            <w14:solidFill>
              <w14:schemeClr w14:val="tx1"/>
            </w14:solidFill>
          </w14:textFill>
        </w:rPr>
        <w:t>娄底市中心医院</w:t>
      </w:r>
      <w:r>
        <w:rPr>
          <w:rFonts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乙方（盖章）</w:t>
      </w:r>
      <w:r>
        <w:rPr>
          <w:rFonts w:hint="eastAsia" w:ascii="宋体" w:hAnsi="宋体" w:eastAsia="宋体" w:cs="宋体"/>
          <w:color w:val="000000" w:themeColor="text1"/>
          <w:sz w:val="24"/>
          <w:highlight w:val="none"/>
          <w14:textFill>
            <w14:solidFill>
              <w14:schemeClr w14:val="tx1"/>
            </w14:solidFill>
          </w14:textFill>
        </w:rPr>
        <w:t>：</w:t>
      </w:r>
    </w:p>
    <w:p w14:paraId="24DAADFF">
      <w:pPr>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 xml:space="preserve">法定代表人（签字）：        </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法定代表人（签字）：    </w:t>
      </w:r>
    </w:p>
    <w:p w14:paraId="57C9B266">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或</w:t>
      </w:r>
      <w:r>
        <w:rPr>
          <w:rFonts w:ascii="宋体" w:hAnsi="宋体" w:eastAsia="宋体" w:cs="宋体"/>
          <w:color w:val="000000" w:themeColor="text1"/>
          <w:sz w:val="24"/>
          <w:highlight w:val="none"/>
          <w14:textFill>
            <w14:solidFill>
              <w14:schemeClr w14:val="tx1"/>
            </w14:solidFill>
          </w14:textFill>
        </w:rPr>
        <w:t xml:space="preserve">委托代理人（签字）：        </w:t>
      </w:r>
      <w:r>
        <w:rPr>
          <w:rFonts w:hint="eastAsia" w:ascii="宋体" w:hAnsi="宋体" w:eastAsia="宋体" w:cs="宋体"/>
          <w:color w:val="000000" w:themeColor="text1"/>
          <w:sz w:val="24"/>
          <w:highlight w:val="none"/>
          <w14:textFill>
            <w14:solidFill>
              <w14:schemeClr w14:val="tx1"/>
            </w14:solidFill>
          </w14:textFill>
        </w:rPr>
        <w:t xml:space="preserve">      或</w:t>
      </w:r>
      <w:r>
        <w:rPr>
          <w:rFonts w:ascii="宋体" w:hAnsi="宋体" w:eastAsia="宋体" w:cs="宋体"/>
          <w:color w:val="000000" w:themeColor="text1"/>
          <w:sz w:val="24"/>
          <w:highlight w:val="none"/>
          <w14:textFill>
            <w14:solidFill>
              <w14:schemeClr w14:val="tx1"/>
            </w14:solidFill>
          </w14:textFill>
        </w:rPr>
        <w:t>委托代理人（签字）：</w:t>
      </w:r>
    </w:p>
    <w:p w14:paraId="72CCBFCF">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合同签订地</w:t>
      </w:r>
      <w:r>
        <w:rPr>
          <w:rFonts w:hint="eastAsia" w:ascii="宋体" w:hAnsi="宋体" w:eastAsia="宋体" w:cs="宋体"/>
          <w:color w:val="000000" w:themeColor="text1"/>
          <w:sz w:val="24"/>
          <w:highlight w:val="none"/>
          <w14:textFill>
            <w14:solidFill>
              <w14:schemeClr w14:val="tx1"/>
            </w14:solidFill>
          </w14:textFill>
        </w:rPr>
        <w:t>履行地</w:t>
      </w:r>
      <w:r>
        <w:rPr>
          <w:rFonts w:ascii="宋体" w:hAnsi="宋体" w:eastAsia="宋体" w:cs="宋体"/>
          <w:color w:val="000000" w:themeColor="text1"/>
          <w:sz w:val="24"/>
          <w:highlight w:val="none"/>
          <w14:textFill>
            <w14:solidFill>
              <w14:schemeClr w14:val="tx1"/>
            </w14:solidFill>
          </w14:textFill>
        </w:rPr>
        <w:t xml:space="preserve">：娄底市娄星区 </w:t>
      </w:r>
      <w:r>
        <w:rPr>
          <w:rFonts w:hint="eastAsia" w:ascii="宋体" w:hAnsi="宋体" w:eastAsia="宋体" w:cs="宋体"/>
          <w:color w:val="000000" w:themeColor="text1"/>
          <w:sz w:val="24"/>
          <w:highlight w:val="none"/>
          <w14:textFill>
            <w14:solidFill>
              <w14:schemeClr w14:val="tx1"/>
            </w14:solidFill>
          </w14:textFill>
        </w:rPr>
        <w:t xml:space="preserve">    </w:t>
      </w:r>
      <w:r>
        <w:rPr>
          <w:rFonts w:hint="eastAsia" w:ascii="宋体" w:hAnsi="宋体" w:eastAsia="宋体" w:cs="宋体"/>
          <w:color w:val="000000" w:themeColor="text1"/>
          <w:sz w:val="24"/>
          <w:highlight w:val="none"/>
          <w:lang w:val="en-US"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签订时间：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年</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月</w:t>
      </w:r>
      <w:r>
        <w:rPr>
          <w:rFonts w:hint="eastAsia" w:ascii="宋体" w:hAnsi="宋体" w:eastAsia="宋体" w:cs="宋体"/>
          <w:color w:val="000000" w:themeColor="text1"/>
          <w:sz w:val="24"/>
          <w:highlight w:val="none"/>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日</w:t>
      </w:r>
    </w:p>
    <w:p w14:paraId="10BAFAC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7DEBBA3">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50C278F8">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14:paraId="6450FBD0">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168CE20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17CB8BC1">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72001243">
      <w:pPr>
        <w:pStyle w:val="4"/>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C8AEFFF">
      <w:pPr>
        <w:pStyle w:val="4"/>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678A02A4">
      <w:pPr>
        <w:rPr>
          <w:rFonts w:hint="eastAsia" w:ascii="宋体" w:hAnsi="宋体" w:cs="宋体"/>
          <w:color w:val="auto"/>
        </w:rPr>
      </w:pPr>
    </w:p>
    <w:bookmarkEnd w:id="1"/>
    <w:p w14:paraId="35955023">
      <w:pPr>
        <w:rPr>
          <w:rFonts w:hint="eastAsia"/>
          <w:color w:val="auto"/>
        </w:rPr>
      </w:pPr>
    </w:p>
    <w:p w14:paraId="7269B6E8">
      <w:pPr>
        <w:jc w:val="center"/>
        <w:rPr>
          <w:b/>
          <w:color w:val="auto"/>
          <w:sz w:val="24"/>
        </w:rPr>
      </w:pPr>
      <w:r>
        <w:rPr>
          <w:b/>
          <w:color w:val="auto"/>
          <w:sz w:val="28"/>
          <w:szCs w:val="28"/>
        </w:rPr>
        <w:t>第一部分、开标一览表</w:t>
      </w:r>
    </w:p>
    <w:p w14:paraId="3272D69C">
      <w:pPr>
        <w:jc w:val="center"/>
        <w:rPr>
          <w:b/>
          <w:color w:val="auto"/>
          <w:sz w:val="24"/>
        </w:rPr>
      </w:pPr>
    </w:p>
    <w:p w14:paraId="298B673A">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016E4D9E">
      <w:pPr>
        <w:pStyle w:val="15"/>
        <w:rPr>
          <w:color w:val="auto"/>
        </w:rPr>
      </w:pPr>
    </w:p>
    <w:p w14:paraId="31B03680">
      <w:pPr>
        <w:adjustRightInd w:val="0"/>
        <w:snapToGrid w:val="0"/>
        <w:spacing w:line="360" w:lineRule="auto"/>
        <w:jc w:val="center"/>
        <w:rPr>
          <w:rFonts w:hint="eastAsia" w:ascii="宋体" w:hAnsi="宋体" w:cs="宋体"/>
          <w:b/>
          <w:color w:val="auto"/>
          <w:sz w:val="28"/>
          <w:szCs w:val="28"/>
        </w:rPr>
      </w:pPr>
    </w:p>
    <w:p w14:paraId="68AFC285">
      <w:pPr>
        <w:adjustRightInd w:val="0"/>
        <w:snapToGrid w:val="0"/>
        <w:spacing w:line="360" w:lineRule="auto"/>
        <w:jc w:val="center"/>
        <w:rPr>
          <w:rFonts w:hint="eastAsia" w:ascii="宋体" w:hAnsi="宋体" w:cs="宋体"/>
          <w:b/>
          <w:color w:val="auto"/>
          <w:sz w:val="28"/>
          <w:szCs w:val="28"/>
        </w:rPr>
      </w:pPr>
    </w:p>
    <w:p w14:paraId="7C2866BF">
      <w:pPr>
        <w:adjustRightInd w:val="0"/>
        <w:snapToGrid w:val="0"/>
        <w:spacing w:line="360" w:lineRule="auto"/>
        <w:jc w:val="center"/>
        <w:rPr>
          <w:rFonts w:hint="eastAsia" w:ascii="宋体" w:hAnsi="宋体" w:cs="宋体"/>
          <w:b/>
          <w:color w:val="auto"/>
          <w:sz w:val="28"/>
          <w:szCs w:val="28"/>
        </w:rPr>
      </w:pPr>
    </w:p>
    <w:p w14:paraId="615E578F">
      <w:pPr>
        <w:adjustRightInd w:val="0"/>
        <w:snapToGrid w:val="0"/>
        <w:spacing w:line="360" w:lineRule="auto"/>
        <w:jc w:val="center"/>
        <w:rPr>
          <w:rFonts w:hint="eastAsia" w:ascii="宋体" w:hAnsi="宋体" w:cs="宋体"/>
          <w:b/>
          <w:color w:val="auto"/>
          <w:sz w:val="28"/>
          <w:szCs w:val="28"/>
        </w:rPr>
      </w:pPr>
    </w:p>
    <w:p w14:paraId="066856DF">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31413198">
      <w:pPr>
        <w:pStyle w:val="14"/>
        <w:rPr>
          <w:rFonts w:hint="eastAsia"/>
          <w:lang w:eastAsia="zh-CN"/>
        </w:rPr>
      </w:pPr>
    </w:p>
    <w:p w14:paraId="019592F8">
      <w:pPr>
        <w:adjustRightInd w:val="0"/>
        <w:snapToGrid w:val="0"/>
        <w:spacing w:line="360" w:lineRule="auto"/>
        <w:jc w:val="center"/>
        <w:rPr>
          <w:rFonts w:hint="eastAsia" w:ascii="宋体" w:hAnsi="宋体" w:cs="宋体"/>
          <w:b/>
          <w:color w:val="auto"/>
          <w:sz w:val="24"/>
          <w:szCs w:val="20"/>
        </w:rPr>
      </w:pPr>
    </w:p>
    <w:p w14:paraId="7AB1D287">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19D9A224">
      <w:pPr>
        <w:adjustRightInd w:val="0"/>
        <w:snapToGrid w:val="0"/>
        <w:spacing w:line="360" w:lineRule="auto"/>
        <w:rPr>
          <w:rFonts w:hint="eastAsia" w:ascii="宋体" w:hAnsi="宋体" w:cs="宋体"/>
          <w:b/>
          <w:color w:val="auto"/>
          <w:sz w:val="28"/>
          <w:szCs w:val="28"/>
        </w:rPr>
      </w:pPr>
    </w:p>
    <w:p w14:paraId="39DAF27A">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685B83AE">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588009D">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6A2C43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7A7A2B04">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182B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3AD6F504">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6ADBF687">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781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21BD33DC">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388ADC4B">
      <w:pPr>
        <w:adjustRightInd w:val="0"/>
        <w:snapToGrid w:val="0"/>
        <w:spacing w:line="360" w:lineRule="auto"/>
        <w:rPr>
          <w:rFonts w:hint="eastAsia" w:ascii="宋体" w:hAnsi="宋体" w:cs="宋体"/>
          <w:color w:val="auto"/>
          <w:sz w:val="24"/>
        </w:rPr>
      </w:pPr>
    </w:p>
    <w:p w14:paraId="4EF410B2">
      <w:pPr>
        <w:adjustRightInd w:val="0"/>
        <w:snapToGrid w:val="0"/>
        <w:spacing w:line="360" w:lineRule="auto"/>
        <w:rPr>
          <w:rFonts w:hint="eastAsia" w:ascii="宋体" w:hAnsi="宋体" w:cs="宋体"/>
          <w:color w:val="auto"/>
          <w:sz w:val="24"/>
        </w:rPr>
      </w:pPr>
    </w:p>
    <w:p w14:paraId="01D6C8A2">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209E3B">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166B55A9">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33DE4FC9">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5BD972E1">
      <w:pPr>
        <w:adjustRightInd w:val="0"/>
        <w:snapToGrid w:val="0"/>
        <w:spacing w:line="360" w:lineRule="auto"/>
        <w:rPr>
          <w:rFonts w:hint="eastAsia" w:ascii="宋体" w:hAnsi="宋体" w:cs="宋体"/>
          <w:b/>
          <w:color w:val="auto"/>
          <w:sz w:val="28"/>
          <w:szCs w:val="28"/>
        </w:rPr>
      </w:pPr>
    </w:p>
    <w:p w14:paraId="0D7AFB46">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46A4900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100809F4">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14:paraId="6935A6F5">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2987EC0D">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3051D8A1">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4A80FF2A">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67D8786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4B07B463">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076F71C1">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103CB81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789DC03F">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B6ACE0B">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18C54B1B">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41C88097">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443A3CF4">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241ED5E">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76F255">
      <w:pPr>
        <w:adjustRightInd w:val="0"/>
        <w:snapToGrid w:val="0"/>
        <w:spacing w:line="360" w:lineRule="auto"/>
        <w:jc w:val="center"/>
        <w:rPr>
          <w:rFonts w:hint="eastAsia" w:ascii="宋体" w:hAnsi="宋体" w:cs="宋体"/>
          <w:b/>
          <w:color w:val="auto"/>
          <w:sz w:val="24"/>
          <w:szCs w:val="20"/>
        </w:rPr>
      </w:pPr>
    </w:p>
    <w:p w14:paraId="30B66BA7">
      <w:pPr>
        <w:adjustRightInd w:val="0"/>
        <w:snapToGrid w:val="0"/>
        <w:spacing w:line="360" w:lineRule="auto"/>
        <w:rPr>
          <w:rFonts w:hint="eastAsia" w:ascii="宋体" w:hAnsi="宋体" w:cs="宋体"/>
          <w:b/>
          <w:color w:val="auto"/>
          <w:sz w:val="24"/>
          <w:szCs w:val="20"/>
        </w:rPr>
      </w:pPr>
    </w:p>
    <w:p w14:paraId="0D50DA8D">
      <w:pPr>
        <w:adjustRightInd w:val="0"/>
        <w:snapToGrid w:val="0"/>
        <w:spacing w:line="360" w:lineRule="auto"/>
        <w:rPr>
          <w:rFonts w:hint="eastAsia" w:ascii="宋体" w:hAnsi="宋体" w:cs="宋体"/>
          <w:b/>
          <w:color w:val="auto"/>
          <w:sz w:val="24"/>
          <w:szCs w:val="20"/>
        </w:rPr>
      </w:pPr>
    </w:p>
    <w:p w14:paraId="062C0D10">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3750B7E5">
      <w:pPr>
        <w:adjustRightInd w:val="0"/>
        <w:snapToGrid w:val="0"/>
        <w:spacing w:line="360" w:lineRule="auto"/>
        <w:jc w:val="center"/>
        <w:rPr>
          <w:rFonts w:hint="eastAsia" w:ascii="宋体" w:hAnsi="宋体" w:cs="宋体"/>
          <w:b/>
          <w:color w:val="auto"/>
          <w:sz w:val="24"/>
          <w:szCs w:val="20"/>
        </w:rPr>
      </w:pPr>
    </w:p>
    <w:p w14:paraId="05A0F057">
      <w:pPr>
        <w:pStyle w:val="5"/>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18699FB8">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717CFF33">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6C69E6B1">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0F4CDC2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6ADFC4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330DDAE5">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16C398B4">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8BA54E5">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70A514C0">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25DC19E3">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03859723">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62B1F785">
      <w:pPr>
        <w:jc w:val="left"/>
        <w:rPr>
          <w:rFonts w:hint="eastAsia" w:ascii="宋体" w:hAnsi="宋体" w:eastAsia="宋体" w:cs="Times New Roman"/>
          <w:b w:val="0"/>
          <w:bCs w:val="0"/>
          <w:color w:val="auto"/>
          <w:kern w:val="2"/>
          <w:sz w:val="24"/>
          <w:szCs w:val="24"/>
          <w:lang w:val="en-US" w:eastAsia="zh-CN" w:bidi="ar-SA"/>
        </w:rPr>
      </w:pPr>
    </w:p>
    <w:p w14:paraId="47FB3CFC">
      <w:pPr>
        <w:jc w:val="left"/>
        <w:rPr>
          <w:rFonts w:hint="eastAsia" w:ascii="宋体" w:hAnsi="宋体" w:eastAsia="宋体" w:cs="Times New Roman"/>
          <w:b w:val="0"/>
          <w:bCs w:val="0"/>
          <w:color w:val="auto"/>
          <w:kern w:val="2"/>
          <w:sz w:val="24"/>
          <w:szCs w:val="24"/>
          <w:lang w:val="en-US" w:eastAsia="zh-CN" w:bidi="ar-SA"/>
        </w:rPr>
      </w:pPr>
    </w:p>
    <w:p w14:paraId="59901A1D">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25846F66">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0BE5A702">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14:paraId="510721AA">
      <w:pPr>
        <w:pStyle w:val="14"/>
        <w:rPr>
          <w:rFonts w:hint="eastAsia"/>
          <w:lang w:eastAsia="zh-CN"/>
        </w:rPr>
      </w:pPr>
    </w:p>
    <w:p w14:paraId="06DB0CA7">
      <w:pPr>
        <w:spacing w:before="120" w:beforeLines="50" w:after="120" w:afterLines="50" w:line="276" w:lineRule="auto"/>
        <w:jc w:val="center"/>
        <w:rPr>
          <w:b/>
          <w:color w:val="auto"/>
          <w:sz w:val="24"/>
        </w:rPr>
      </w:pPr>
      <w:r>
        <w:rPr>
          <w:b/>
          <w:color w:val="auto"/>
          <w:sz w:val="24"/>
        </w:rPr>
        <w:t>采购需求响应/偏离表</w:t>
      </w:r>
    </w:p>
    <w:p w14:paraId="7D7E809A">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39814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1B026CC">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20CD9C14">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14:paraId="13A17B38">
            <w:pPr>
              <w:adjustRightInd w:val="0"/>
              <w:snapToGrid w:val="0"/>
              <w:spacing w:before="50" w:line="360" w:lineRule="auto"/>
              <w:jc w:val="center"/>
              <w:rPr>
                <w:color w:val="auto"/>
              </w:rPr>
            </w:pPr>
            <w:r>
              <w:rPr>
                <w:color w:val="auto"/>
              </w:rPr>
              <w:t>招标文件要求</w:t>
            </w:r>
          </w:p>
        </w:tc>
        <w:tc>
          <w:tcPr>
            <w:tcW w:w="962" w:type="pct"/>
            <w:noWrap w:val="0"/>
            <w:vAlign w:val="top"/>
          </w:tcPr>
          <w:p w14:paraId="64365777">
            <w:pPr>
              <w:adjustRightInd w:val="0"/>
              <w:snapToGrid w:val="0"/>
              <w:spacing w:before="50" w:line="360" w:lineRule="auto"/>
              <w:jc w:val="center"/>
              <w:rPr>
                <w:color w:val="auto"/>
              </w:rPr>
            </w:pPr>
            <w:r>
              <w:rPr>
                <w:color w:val="auto"/>
              </w:rPr>
              <w:t>投标文件应答</w:t>
            </w:r>
          </w:p>
        </w:tc>
        <w:tc>
          <w:tcPr>
            <w:tcW w:w="905" w:type="pct"/>
            <w:noWrap w:val="0"/>
            <w:vAlign w:val="center"/>
          </w:tcPr>
          <w:p w14:paraId="715E9691">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66CE6E">
            <w:pPr>
              <w:adjustRightInd w:val="0"/>
              <w:snapToGrid w:val="0"/>
              <w:spacing w:before="50" w:line="360" w:lineRule="auto"/>
              <w:ind w:left="-88" w:leftChars="-42"/>
              <w:jc w:val="center"/>
              <w:rPr>
                <w:color w:val="auto"/>
                <w:szCs w:val="21"/>
              </w:rPr>
            </w:pPr>
            <w:r>
              <w:rPr>
                <w:color w:val="auto"/>
                <w:szCs w:val="21"/>
              </w:rPr>
              <w:t>偏离说明</w:t>
            </w:r>
          </w:p>
        </w:tc>
      </w:tr>
      <w:tr w14:paraId="6CB965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8991144">
            <w:pPr>
              <w:adjustRightInd w:val="0"/>
              <w:snapToGrid w:val="0"/>
              <w:spacing w:before="50" w:line="360" w:lineRule="auto"/>
              <w:ind w:left="-88" w:leftChars="-42"/>
              <w:jc w:val="center"/>
              <w:rPr>
                <w:color w:val="auto"/>
                <w:szCs w:val="21"/>
              </w:rPr>
            </w:pPr>
          </w:p>
        </w:tc>
        <w:tc>
          <w:tcPr>
            <w:tcW w:w="1123" w:type="pct"/>
            <w:noWrap w:val="0"/>
            <w:vAlign w:val="center"/>
          </w:tcPr>
          <w:p w14:paraId="6A90705A">
            <w:pPr>
              <w:adjustRightInd w:val="0"/>
              <w:snapToGrid w:val="0"/>
              <w:spacing w:before="50" w:line="360" w:lineRule="auto"/>
              <w:ind w:left="-88" w:leftChars="-42"/>
              <w:jc w:val="center"/>
              <w:rPr>
                <w:color w:val="auto"/>
                <w:szCs w:val="21"/>
              </w:rPr>
            </w:pPr>
          </w:p>
        </w:tc>
        <w:tc>
          <w:tcPr>
            <w:tcW w:w="1000" w:type="pct"/>
            <w:noWrap w:val="0"/>
            <w:vAlign w:val="center"/>
          </w:tcPr>
          <w:p w14:paraId="04271540">
            <w:pPr>
              <w:adjustRightInd w:val="0"/>
              <w:snapToGrid w:val="0"/>
              <w:spacing w:before="50" w:line="360" w:lineRule="auto"/>
              <w:ind w:left="-88" w:leftChars="-42"/>
              <w:jc w:val="center"/>
              <w:rPr>
                <w:color w:val="auto"/>
                <w:szCs w:val="21"/>
              </w:rPr>
            </w:pPr>
          </w:p>
        </w:tc>
        <w:tc>
          <w:tcPr>
            <w:tcW w:w="962" w:type="pct"/>
            <w:noWrap w:val="0"/>
            <w:vAlign w:val="center"/>
          </w:tcPr>
          <w:p w14:paraId="5E622A19">
            <w:pPr>
              <w:adjustRightInd w:val="0"/>
              <w:snapToGrid w:val="0"/>
              <w:spacing w:before="50" w:line="360" w:lineRule="auto"/>
              <w:ind w:left="-88" w:leftChars="-42"/>
              <w:jc w:val="center"/>
              <w:rPr>
                <w:color w:val="auto"/>
                <w:szCs w:val="21"/>
              </w:rPr>
            </w:pPr>
          </w:p>
        </w:tc>
        <w:tc>
          <w:tcPr>
            <w:tcW w:w="905" w:type="pct"/>
            <w:noWrap w:val="0"/>
            <w:vAlign w:val="center"/>
          </w:tcPr>
          <w:p w14:paraId="2738D904">
            <w:pPr>
              <w:adjustRightInd w:val="0"/>
              <w:snapToGrid w:val="0"/>
              <w:spacing w:before="50" w:line="360" w:lineRule="auto"/>
              <w:ind w:left="-88" w:leftChars="-42"/>
              <w:jc w:val="center"/>
              <w:rPr>
                <w:color w:val="auto"/>
                <w:szCs w:val="21"/>
              </w:rPr>
            </w:pPr>
          </w:p>
        </w:tc>
        <w:tc>
          <w:tcPr>
            <w:tcW w:w="634" w:type="pct"/>
            <w:noWrap w:val="0"/>
            <w:vAlign w:val="center"/>
          </w:tcPr>
          <w:p w14:paraId="3CC471ED">
            <w:pPr>
              <w:adjustRightInd w:val="0"/>
              <w:snapToGrid w:val="0"/>
              <w:spacing w:before="50" w:line="360" w:lineRule="auto"/>
              <w:ind w:left="-88" w:leftChars="-42"/>
              <w:jc w:val="center"/>
              <w:rPr>
                <w:color w:val="auto"/>
                <w:szCs w:val="21"/>
              </w:rPr>
            </w:pPr>
          </w:p>
        </w:tc>
      </w:tr>
      <w:tr w14:paraId="1D24B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11589AC7">
            <w:pPr>
              <w:adjustRightInd w:val="0"/>
              <w:snapToGrid w:val="0"/>
              <w:spacing w:before="50" w:line="360" w:lineRule="auto"/>
              <w:ind w:left="-88" w:leftChars="-42"/>
              <w:jc w:val="center"/>
              <w:rPr>
                <w:color w:val="auto"/>
                <w:szCs w:val="21"/>
              </w:rPr>
            </w:pPr>
          </w:p>
        </w:tc>
        <w:tc>
          <w:tcPr>
            <w:tcW w:w="1123" w:type="pct"/>
            <w:noWrap w:val="0"/>
            <w:vAlign w:val="center"/>
          </w:tcPr>
          <w:p w14:paraId="0034D4B1">
            <w:pPr>
              <w:adjustRightInd w:val="0"/>
              <w:snapToGrid w:val="0"/>
              <w:spacing w:before="50" w:line="360" w:lineRule="auto"/>
              <w:ind w:left="-88" w:leftChars="-42"/>
              <w:jc w:val="center"/>
              <w:rPr>
                <w:color w:val="auto"/>
                <w:szCs w:val="21"/>
              </w:rPr>
            </w:pPr>
          </w:p>
        </w:tc>
        <w:tc>
          <w:tcPr>
            <w:tcW w:w="1000" w:type="pct"/>
            <w:noWrap w:val="0"/>
            <w:vAlign w:val="center"/>
          </w:tcPr>
          <w:p w14:paraId="4C6754B5">
            <w:pPr>
              <w:adjustRightInd w:val="0"/>
              <w:snapToGrid w:val="0"/>
              <w:spacing w:before="50" w:line="360" w:lineRule="auto"/>
              <w:ind w:left="-88" w:leftChars="-42"/>
              <w:jc w:val="center"/>
              <w:rPr>
                <w:color w:val="auto"/>
                <w:szCs w:val="21"/>
              </w:rPr>
            </w:pPr>
          </w:p>
        </w:tc>
        <w:tc>
          <w:tcPr>
            <w:tcW w:w="962" w:type="pct"/>
            <w:noWrap w:val="0"/>
            <w:vAlign w:val="center"/>
          </w:tcPr>
          <w:p w14:paraId="1A255DC2">
            <w:pPr>
              <w:adjustRightInd w:val="0"/>
              <w:snapToGrid w:val="0"/>
              <w:spacing w:before="50" w:line="360" w:lineRule="auto"/>
              <w:ind w:left="-88" w:leftChars="-42"/>
              <w:jc w:val="center"/>
              <w:rPr>
                <w:color w:val="auto"/>
                <w:szCs w:val="21"/>
              </w:rPr>
            </w:pPr>
          </w:p>
        </w:tc>
        <w:tc>
          <w:tcPr>
            <w:tcW w:w="905" w:type="pct"/>
            <w:noWrap w:val="0"/>
            <w:vAlign w:val="center"/>
          </w:tcPr>
          <w:p w14:paraId="1C19F4F4">
            <w:pPr>
              <w:adjustRightInd w:val="0"/>
              <w:snapToGrid w:val="0"/>
              <w:spacing w:before="50" w:line="360" w:lineRule="auto"/>
              <w:ind w:left="-88" w:leftChars="-42"/>
              <w:jc w:val="center"/>
              <w:rPr>
                <w:color w:val="auto"/>
                <w:szCs w:val="21"/>
              </w:rPr>
            </w:pPr>
          </w:p>
        </w:tc>
        <w:tc>
          <w:tcPr>
            <w:tcW w:w="634" w:type="pct"/>
            <w:noWrap w:val="0"/>
            <w:vAlign w:val="center"/>
          </w:tcPr>
          <w:p w14:paraId="1DB72303">
            <w:pPr>
              <w:adjustRightInd w:val="0"/>
              <w:snapToGrid w:val="0"/>
              <w:spacing w:before="50" w:line="360" w:lineRule="auto"/>
              <w:ind w:left="-88" w:leftChars="-42"/>
              <w:jc w:val="center"/>
              <w:rPr>
                <w:color w:val="auto"/>
                <w:szCs w:val="21"/>
              </w:rPr>
            </w:pPr>
          </w:p>
        </w:tc>
      </w:tr>
      <w:tr w14:paraId="69E4D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64DFE605">
            <w:pPr>
              <w:adjustRightInd w:val="0"/>
              <w:snapToGrid w:val="0"/>
              <w:spacing w:before="50" w:line="360" w:lineRule="auto"/>
              <w:ind w:left="-88" w:leftChars="-42"/>
              <w:jc w:val="center"/>
              <w:rPr>
                <w:color w:val="auto"/>
                <w:szCs w:val="21"/>
              </w:rPr>
            </w:pPr>
          </w:p>
        </w:tc>
        <w:tc>
          <w:tcPr>
            <w:tcW w:w="1123" w:type="pct"/>
            <w:noWrap w:val="0"/>
            <w:vAlign w:val="center"/>
          </w:tcPr>
          <w:p w14:paraId="63674615">
            <w:pPr>
              <w:adjustRightInd w:val="0"/>
              <w:snapToGrid w:val="0"/>
              <w:spacing w:before="50" w:line="360" w:lineRule="auto"/>
              <w:ind w:left="-88" w:leftChars="-42"/>
              <w:jc w:val="center"/>
              <w:rPr>
                <w:color w:val="auto"/>
                <w:szCs w:val="21"/>
              </w:rPr>
            </w:pPr>
          </w:p>
        </w:tc>
        <w:tc>
          <w:tcPr>
            <w:tcW w:w="1000" w:type="pct"/>
            <w:noWrap w:val="0"/>
            <w:vAlign w:val="center"/>
          </w:tcPr>
          <w:p w14:paraId="4F855F41">
            <w:pPr>
              <w:adjustRightInd w:val="0"/>
              <w:snapToGrid w:val="0"/>
              <w:spacing w:before="50" w:line="360" w:lineRule="auto"/>
              <w:ind w:left="-88" w:leftChars="-42"/>
              <w:jc w:val="center"/>
              <w:rPr>
                <w:color w:val="auto"/>
                <w:szCs w:val="21"/>
              </w:rPr>
            </w:pPr>
          </w:p>
        </w:tc>
        <w:tc>
          <w:tcPr>
            <w:tcW w:w="962" w:type="pct"/>
            <w:noWrap w:val="0"/>
            <w:vAlign w:val="center"/>
          </w:tcPr>
          <w:p w14:paraId="7D19764F">
            <w:pPr>
              <w:adjustRightInd w:val="0"/>
              <w:snapToGrid w:val="0"/>
              <w:spacing w:before="50" w:line="360" w:lineRule="auto"/>
              <w:ind w:left="-88" w:leftChars="-42"/>
              <w:jc w:val="center"/>
              <w:rPr>
                <w:color w:val="auto"/>
                <w:szCs w:val="21"/>
              </w:rPr>
            </w:pPr>
          </w:p>
        </w:tc>
        <w:tc>
          <w:tcPr>
            <w:tcW w:w="905" w:type="pct"/>
            <w:noWrap w:val="0"/>
            <w:vAlign w:val="center"/>
          </w:tcPr>
          <w:p w14:paraId="387E2D80">
            <w:pPr>
              <w:adjustRightInd w:val="0"/>
              <w:snapToGrid w:val="0"/>
              <w:spacing w:before="50" w:line="360" w:lineRule="auto"/>
              <w:ind w:left="-88" w:leftChars="-42"/>
              <w:jc w:val="center"/>
              <w:rPr>
                <w:color w:val="auto"/>
                <w:szCs w:val="21"/>
              </w:rPr>
            </w:pPr>
          </w:p>
        </w:tc>
        <w:tc>
          <w:tcPr>
            <w:tcW w:w="634" w:type="pct"/>
            <w:noWrap w:val="0"/>
            <w:vAlign w:val="center"/>
          </w:tcPr>
          <w:p w14:paraId="1F8879A3">
            <w:pPr>
              <w:adjustRightInd w:val="0"/>
              <w:snapToGrid w:val="0"/>
              <w:spacing w:before="50" w:line="360" w:lineRule="auto"/>
              <w:ind w:left="-88" w:leftChars="-42"/>
              <w:jc w:val="center"/>
              <w:rPr>
                <w:color w:val="auto"/>
                <w:szCs w:val="21"/>
              </w:rPr>
            </w:pPr>
          </w:p>
        </w:tc>
      </w:tr>
      <w:tr w14:paraId="0DF1F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749B4687">
            <w:pPr>
              <w:rPr>
                <w:b/>
                <w:color w:val="auto"/>
              </w:rPr>
            </w:pPr>
          </w:p>
        </w:tc>
      </w:tr>
    </w:tbl>
    <w:p w14:paraId="697F230A">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5716E13">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14:paraId="139ED8A9">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14:paraId="106FD182">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3136756E">
      <w:pPr>
        <w:pStyle w:val="15"/>
        <w:rPr>
          <w:color w:val="auto"/>
        </w:rPr>
      </w:pPr>
    </w:p>
    <w:p w14:paraId="73D1C885">
      <w:pPr>
        <w:pStyle w:val="14"/>
        <w:rPr>
          <w:rFonts w:hint="eastAsia"/>
          <w:lang w:eastAsia="zh-CN"/>
        </w:rPr>
      </w:pPr>
    </w:p>
    <w:p w14:paraId="03C04ADB"/>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D478A">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364D75">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1364D75">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04AA74B6">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15414">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6C99FB">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D6C99FB">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6A2EFDEE">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413EB">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4653F41"/>
    <w:rsid w:val="04B72FC8"/>
    <w:rsid w:val="06E91EC4"/>
    <w:rsid w:val="086F75C9"/>
    <w:rsid w:val="0A3F4F3C"/>
    <w:rsid w:val="0E331420"/>
    <w:rsid w:val="0EDD1643"/>
    <w:rsid w:val="0FB9029C"/>
    <w:rsid w:val="10914EF9"/>
    <w:rsid w:val="12080B62"/>
    <w:rsid w:val="12994AC5"/>
    <w:rsid w:val="129F447F"/>
    <w:rsid w:val="12C86253"/>
    <w:rsid w:val="15060AC8"/>
    <w:rsid w:val="15675A4C"/>
    <w:rsid w:val="15F259FD"/>
    <w:rsid w:val="17F91BB8"/>
    <w:rsid w:val="1AF56B46"/>
    <w:rsid w:val="1BDB6ECD"/>
    <w:rsid w:val="1E79119D"/>
    <w:rsid w:val="1F334F58"/>
    <w:rsid w:val="1F796B24"/>
    <w:rsid w:val="1FE73549"/>
    <w:rsid w:val="2038045E"/>
    <w:rsid w:val="20B41DA7"/>
    <w:rsid w:val="23FF55ED"/>
    <w:rsid w:val="272B6E6C"/>
    <w:rsid w:val="27CF2BB7"/>
    <w:rsid w:val="28E81B29"/>
    <w:rsid w:val="29B45A41"/>
    <w:rsid w:val="2C0A2E19"/>
    <w:rsid w:val="2C7642D0"/>
    <w:rsid w:val="2DD77C64"/>
    <w:rsid w:val="2DDA1E78"/>
    <w:rsid w:val="2DE00B8C"/>
    <w:rsid w:val="2EAC037F"/>
    <w:rsid w:val="2EB67A5C"/>
    <w:rsid w:val="302741D2"/>
    <w:rsid w:val="308B184D"/>
    <w:rsid w:val="33384C93"/>
    <w:rsid w:val="340F06E9"/>
    <w:rsid w:val="372F7378"/>
    <w:rsid w:val="39182A16"/>
    <w:rsid w:val="397348CD"/>
    <w:rsid w:val="3B3B544D"/>
    <w:rsid w:val="3B654F2B"/>
    <w:rsid w:val="3BB72BAE"/>
    <w:rsid w:val="3C8A61A4"/>
    <w:rsid w:val="3D5E17FF"/>
    <w:rsid w:val="3E1F0DA4"/>
    <w:rsid w:val="3E584E51"/>
    <w:rsid w:val="3EBE1ADE"/>
    <w:rsid w:val="403B4B34"/>
    <w:rsid w:val="414D7889"/>
    <w:rsid w:val="41BB0BAE"/>
    <w:rsid w:val="429A4992"/>
    <w:rsid w:val="435B161D"/>
    <w:rsid w:val="43B25DAC"/>
    <w:rsid w:val="44771DFD"/>
    <w:rsid w:val="45D569C3"/>
    <w:rsid w:val="4AEE1A11"/>
    <w:rsid w:val="4B7F39F4"/>
    <w:rsid w:val="4BAE646F"/>
    <w:rsid w:val="4C692B64"/>
    <w:rsid w:val="4CAC1559"/>
    <w:rsid w:val="4D754257"/>
    <w:rsid w:val="4DCD6AB3"/>
    <w:rsid w:val="50216DCD"/>
    <w:rsid w:val="50540C20"/>
    <w:rsid w:val="51AC28BD"/>
    <w:rsid w:val="53984ABA"/>
    <w:rsid w:val="581A7C72"/>
    <w:rsid w:val="583A4BD7"/>
    <w:rsid w:val="59C74B1F"/>
    <w:rsid w:val="5D484535"/>
    <w:rsid w:val="611B6B1B"/>
    <w:rsid w:val="62C222C2"/>
    <w:rsid w:val="632D7C40"/>
    <w:rsid w:val="64133D6A"/>
    <w:rsid w:val="676A25AA"/>
    <w:rsid w:val="678E4F5D"/>
    <w:rsid w:val="680E122C"/>
    <w:rsid w:val="6A4E1D63"/>
    <w:rsid w:val="6DE375E4"/>
    <w:rsid w:val="6E8E5287"/>
    <w:rsid w:val="6FBE332C"/>
    <w:rsid w:val="71554367"/>
    <w:rsid w:val="71584067"/>
    <w:rsid w:val="735201FF"/>
    <w:rsid w:val="737B50A4"/>
    <w:rsid w:val="73F40E72"/>
    <w:rsid w:val="74566F5C"/>
    <w:rsid w:val="750117A8"/>
    <w:rsid w:val="755B2270"/>
    <w:rsid w:val="76920D75"/>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5">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3">
    <w:name w:val="Body Text Indent"/>
    <w:basedOn w:val="1"/>
    <w:autoRedefine/>
    <w:qFormat/>
    <w:uiPriority w:val="99"/>
    <w:pPr>
      <w:spacing w:line="400" w:lineRule="exact"/>
      <w:ind w:left="630"/>
    </w:pPr>
    <w:rPr>
      <w:rFonts w:ascii="楷体_GB2312"/>
      <w:sz w:val="30"/>
      <w:szCs w:val="30"/>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autoRedefine/>
    <w:qFormat/>
    <w:uiPriority w:val="0"/>
    <w:rPr>
      <w:sz w:val="24"/>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2"/>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8114</Words>
  <Characters>8546</Characters>
  <Lines>0</Lines>
  <Paragraphs>0</Paragraphs>
  <TotalTime>1</TotalTime>
  <ScaleCrop>false</ScaleCrop>
  <LinksUpToDate>false</LinksUpToDate>
  <CharactersWithSpaces>9474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2024-09-04T01:36:31Z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3505A2AB25E048A4A9B0E6A6741CA1BA_11</vt:lpwstr>
  </property>
</Properties>
</file>