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A82C">
      <w:pPr>
        <w:pStyle w:val="5"/>
        <w:snapToGrid w:val="0"/>
        <w:jc w:val="center"/>
        <w:rPr>
          <w:rFonts w:hint="eastAsia" w:ascii="Arial" w:hAnsi="Arial" w:eastAsia="方正小标宋简体" w:cs="Arial"/>
          <w:color w:val="auto"/>
          <w:sz w:val="72"/>
          <w:szCs w:val="72"/>
          <w:lang w:eastAsia="zh-CN"/>
        </w:rPr>
      </w:pPr>
      <w:bookmarkStart w:id="0" w:name="_Toc16523570"/>
    </w:p>
    <w:p w14:paraId="0668E363">
      <w:pPr>
        <w:pStyle w:val="5"/>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14:paraId="75293AE3">
      <w:pPr>
        <w:pStyle w:val="5"/>
        <w:snapToGrid w:val="0"/>
        <w:jc w:val="center"/>
        <w:rPr>
          <w:rFonts w:ascii="Arial" w:hAnsi="Arial" w:eastAsia="方正小标宋简体" w:cs="Arial"/>
          <w:sz w:val="72"/>
          <w:szCs w:val="72"/>
        </w:rPr>
      </w:pPr>
    </w:p>
    <w:p w14:paraId="7A4A9D78">
      <w:pPr>
        <w:pStyle w:val="5"/>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14:paraId="68ADF1C6">
      <w:pPr>
        <w:pStyle w:val="5"/>
        <w:snapToGrid w:val="0"/>
        <w:jc w:val="center"/>
        <w:rPr>
          <w:rFonts w:ascii="Arial" w:hAnsi="Arial" w:eastAsia="方正小标宋简体" w:cs="Arial"/>
          <w:sz w:val="72"/>
          <w:szCs w:val="72"/>
        </w:rPr>
      </w:pPr>
    </w:p>
    <w:p w14:paraId="6B19A57A">
      <w:pPr>
        <w:pStyle w:val="5"/>
        <w:snapToGrid w:val="0"/>
        <w:jc w:val="center"/>
        <w:rPr>
          <w:rFonts w:ascii="Arial" w:hAnsi="Arial" w:eastAsia="方正小标宋简体" w:cs="Arial"/>
          <w:sz w:val="72"/>
          <w:szCs w:val="72"/>
        </w:rPr>
      </w:pPr>
      <w:r>
        <w:rPr>
          <w:rFonts w:ascii="Arial" w:hAnsi="Arial" w:eastAsia="方正小标宋简体" w:cs="Arial"/>
          <w:sz w:val="72"/>
          <w:szCs w:val="72"/>
        </w:rPr>
        <w:t>标</w:t>
      </w:r>
    </w:p>
    <w:p w14:paraId="574591F7">
      <w:pPr>
        <w:pStyle w:val="5"/>
        <w:snapToGrid w:val="0"/>
        <w:jc w:val="center"/>
        <w:rPr>
          <w:rFonts w:ascii="Arial" w:hAnsi="Arial" w:eastAsia="方正小标宋简体" w:cs="Arial"/>
          <w:sz w:val="72"/>
          <w:szCs w:val="72"/>
        </w:rPr>
      </w:pPr>
    </w:p>
    <w:p w14:paraId="71C742D0">
      <w:pPr>
        <w:pStyle w:val="5"/>
        <w:snapToGrid w:val="0"/>
        <w:jc w:val="center"/>
        <w:rPr>
          <w:rFonts w:ascii="Arial" w:hAnsi="Arial" w:eastAsia="方正小标宋简体" w:cs="Arial"/>
          <w:sz w:val="72"/>
          <w:szCs w:val="72"/>
        </w:rPr>
      </w:pPr>
      <w:r>
        <w:rPr>
          <w:rFonts w:ascii="Arial" w:hAnsi="Arial" w:eastAsia="方正小标宋简体" w:cs="Arial"/>
          <w:sz w:val="72"/>
          <w:szCs w:val="72"/>
        </w:rPr>
        <w:t>文</w:t>
      </w:r>
    </w:p>
    <w:p w14:paraId="18BE369B">
      <w:pPr>
        <w:pStyle w:val="5"/>
        <w:snapToGrid w:val="0"/>
        <w:jc w:val="center"/>
        <w:rPr>
          <w:rFonts w:ascii="Arial" w:hAnsi="Arial" w:eastAsia="方正小标宋简体" w:cs="Arial"/>
          <w:sz w:val="72"/>
          <w:szCs w:val="72"/>
        </w:rPr>
      </w:pPr>
    </w:p>
    <w:p w14:paraId="175D2234">
      <w:pPr>
        <w:pStyle w:val="5"/>
        <w:snapToGrid w:val="0"/>
        <w:jc w:val="center"/>
        <w:rPr>
          <w:rFonts w:ascii="Arial" w:hAnsi="Arial" w:eastAsia="方正小标宋简体" w:cs="Arial"/>
          <w:sz w:val="36"/>
          <w:szCs w:val="36"/>
        </w:rPr>
      </w:pPr>
      <w:r>
        <w:rPr>
          <w:rFonts w:ascii="Arial" w:hAnsi="Arial" w:eastAsia="方正小标宋简体" w:cs="Arial"/>
          <w:sz w:val="72"/>
          <w:szCs w:val="72"/>
        </w:rPr>
        <w:t>件</w:t>
      </w:r>
    </w:p>
    <w:p w14:paraId="7714E9FC">
      <w:pPr>
        <w:pStyle w:val="5"/>
        <w:snapToGrid w:val="0"/>
        <w:jc w:val="center"/>
        <w:rPr>
          <w:rFonts w:ascii="Arial" w:hAnsi="Arial" w:cs="Arial"/>
          <w:sz w:val="32"/>
          <w:szCs w:val="32"/>
        </w:rPr>
      </w:pPr>
    </w:p>
    <w:p w14:paraId="6BDB84BC">
      <w:pPr>
        <w:pStyle w:val="5"/>
        <w:snapToGrid w:val="0"/>
        <w:jc w:val="center"/>
        <w:rPr>
          <w:rFonts w:ascii="Arial" w:hAnsi="Arial" w:cs="Arial"/>
          <w:sz w:val="32"/>
          <w:szCs w:val="32"/>
        </w:rPr>
      </w:pPr>
    </w:p>
    <w:p w14:paraId="45537E0A">
      <w:pPr>
        <w:pStyle w:val="5"/>
        <w:snapToGrid w:val="0"/>
        <w:jc w:val="center"/>
        <w:rPr>
          <w:rFonts w:ascii="Arial" w:hAnsi="Arial" w:cs="Arial"/>
          <w:sz w:val="32"/>
          <w:szCs w:val="32"/>
        </w:rPr>
      </w:pPr>
    </w:p>
    <w:p w14:paraId="7D14067D">
      <w:pPr>
        <w:spacing w:line="360" w:lineRule="auto"/>
        <w:rPr>
          <w:rFonts w:hint="eastAsia"/>
          <w:bCs/>
          <w:sz w:val="32"/>
          <w:szCs w:val="32"/>
        </w:rPr>
      </w:pPr>
    </w:p>
    <w:p w14:paraId="552F56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娄底市中心医院门诊药房自动化设备维保服务招标文件</w:t>
      </w:r>
    </w:p>
    <w:p w14:paraId="67D89F09">
      <w:pPr>
        <w:spacing w:line="320" w:lineRule="exact"/>
        <w:jc w:val="left"/>
        <w:rPr>
          <w:sz w:val="24"/>
        </w:rPr>
      </w:pPr>
    </w:p>
    <w:p w14:paraId="199D2F58">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五</w:t>
      </w:r>
      <w:r>
        <w:rPr>
          <w:rFonts w:hint="eastAsia" w:ascii="宋体" w:hAnsi="宋体" w:cs="宋体"/>
          <w:bCs/>
          <w:sz w:val="32"/>
          <w:szCs w:val="32"/>
        </w:rPr>
        <w:t>年</w:t>
      </w:r>
      <w:r>
        <w:rPr>
          <w:rFonts w:hint="eastAsia" w:ascii="宋体" w:hAnsi="宋体" w:cs="宋体"/>
          <w:bCs/>
          <w:sz w:val="32"/>
          <w:szCs w:val="32"/>
          <w:lang w:val="en-US" w:eastAsia="zh-CN"/>
        </w:rPr>
        <w:t>二</w:t>
      </w:r>
      <w:r>
        <w:rPr>
          <w:rFonts w:hint="eastAsia" w:ascii="宋体" w:hAnsi="宋体" w:cs="宋体"/>
          <w:bCs/>
          <w:sz w:val="32"/>
          <w:szCs w:val="32"/>
        </w:rPr>
        <w:t>月</w:t>
      </w:r>
    </w:p>
    <w:p w14:paraId="78D7FB35">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6ED546D8">
      <w:pPr>
        <w:pStyle w:val="5"/>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u w:val="single"/>
          <w:lang w:val="en-US" w:eastAsia="zh-CN"/>
        </w:rPr>
        <w:t>门诊药房自动化设备维保服务</w:t>
      </w:r>
      <w:r>
        <w:rPr>
          <w:rFonts w:hint="eastAsia" w:ascii="仿宋" w:hAnsi="仿宋" w:eastAsia="仿宋" w:cs="仿宋"/>
          <w:bCs/>
          <w:color w:val="auto"/>
          <w:sz w:val="24"/>
          <w:szCs w:val="24"/>
          <w:lang w:val="en-US" w:eastAsia="zh-CN"/>
        </w:rPr>
        <w:t>项目进行院内挂网招标，将招标事项公告如下：</w:t>
      </w:r>
    </w:p>
    <w:p w14:paraId="3697D011">
      <w:pPr>
        <w:pStyle w:val="5"/>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一、项目信息</w:t>
      </w:r>
    </w:p>
    <w:p w14:paraId="4CC3A9FB">
      <w:pPr>
        <w:pStyle w:val="5"/>
        <w:numPr>
          <w:ilvl w:val="0"/>
          <w:numId w:val="0"/>
        </w:numPr>
        <w:tabs>
          <w:tab w:val="left" w:pos="312"/>
        </w:tabs>
        <w:snapToGrid w:val="0"/>
        <w:spacing w:line="48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项目名称：</w:t>
      </w:r>
      <w:r>
        <w:rPr>
          <w:rFonts w:hint="eastAsia" w:ascii="仿宋" w:hAnsi="仿宋" w:eastAsia="仿宋" w:cs="仿宋"/>
          <w:bCs/>
          <w:color w:val="auto"/>
          <w:sz w:val="24"/>
          <w:szCs w:val="24"/>
          <w:u w:val="single"/>
          <w:lang w:val="en-US" w:eastAsia="zh-CN"/>
        </w:rPr>
        <w:t>门诊药房自动化设备维保服务</w:t>
      </w:r>
      <w:r>
        <w:rPr>
          <w:rFonts w:hint="eastAsia" w:ascii="仿宋" w:hAnsi="仿宋" w:eastAsia="仿宋" w:cs="仿宋"/>
          <w:b w:val="0"/>
          <w:bCs/>
          <w:color w:val="auto"/>
          <w:sz w:val="24"/>
          <w:szCs w:val="24"/>
          <w:lang w:val="en-US" w:eastAsia="zh-CN"/>
        </w:rPr>
        <w:t>项目</w:t>
      </w:r>
    </w:p>
    <w:p w14:paraId="008C2037">
      <w:pPr>
        <w:pStyle w:val="5"/>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采购方式</w:t>
      </w:r>
    </w:p>
    <w:p w14:paraId="01DA3E7E">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bidi="ar-SA"/>
        </w:rPr>
        <w:t>1、医院</w:t>
      </w:r>
      <w:r>
        <w:rPr>
          <w:rFonts w:hint="eastAsia" w:ascii="仿宋" w:hAnsi="仿宋" w:eastAsia="仿宋" w:cs="仿宋"/>
          <w:bCs/>
          <w:color w:val="auto"/>
          <w:sz w:val="24"/>
          <w:szCs w:val="24"/>
          <w:lang w:val="en-US" w:eastAsia="zh-CN"/>
        </w:rPr>
        <w:t>公开挂网，最低评标价法，在满足所有参数的条件下，报价最低者中标，如有多个并列最低价，则由并列最低价投标人再次报价，直至出现最低报价为止。</w:t>
      </w:r>
    </w:p>
    <w:bookmarkEnd w:id="0"/>
    <w:p w14:paraId="0BAFC7C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三、投标人资格要求</w:t>
      </w:r>
    </w:p>
    <w:p w14:paraId="0BAE9AC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0332D18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2、参加政府采购活动近3年内，在经营活动中没有重大违法记录；</w:t>
      </w:r>
    </w:p>
    <w:p w14:paraId="2D54D14E">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3、投标人未列入经营异常名录和未列入严重违法失信企业名单（黑名单），投标人企业法人代表未被列入失信被执行人名单；</w:t>
      </w:r>
    </w:p>
    <w:p w14:paraId="54AE8C1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7D2CD87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4、本项目不接受联合体投标，不得分包、转包；</w:t>
      </w:r>
    </w:p>
    <w:p w14:paraId="6817348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5、单位负责人为同一人或者存在直接控股、管理关系的不同投标人，不得参加本次采购活动。</w:t>
      </w:r>
    </w:p>
    <w:p w14:paraId="0B47D063">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6、中标人必须配合完成电子卖场直购程序。</w:t>
      </w:r>
      <w:bookmarkStart w:id="4" w:name="_GoBack"/>
      <w:bookmarkEnd w:id="4"/>
    </w:p>
    <w:p w14:paraId="4D779DB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四、投标截止时间、开标时间及地点：</w:t>
      </w:r>
    </w:p>
    <w:p w14:paraId="453A350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1、投标截止时间、开标时间：具体时间另行通知</w:t>
      </w:r>
    </w:p>
    <w:p w14:paraId="521D390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2、开标地点;娄底市中心医院</w:t>
      </w:r>
    </w:p>
    <w:p w14:paraId="76911C3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五、招标人地址和联系方法：</w:t>
      </w:r>
    </w:p>
    <w:p w14:paraId="0449468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1、招标人名称：娄底市中心医院</w:t>
      </w:r>
    </w:p>
    <w:p w14:paraId="22CFF10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2、联系人及联系方式：廖海星 15873871616</w:t>
      </w:r>
    </w:p>
    <w:p w14:paraId="5141471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3、招标人地址：娄底市长青中街51号</w:t>
      </w:r>
    </w:p>
    <w:p w14:paraId="376A01D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六、投标须知</w:t>
      </w:r>
    </w:p>
    <w:p w14:paraId="2256C15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1、否决投标的情形：</w:t>
      </w:r>
    </w:p>
    <w:p w14:paraId="00C887C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1.1、投标人以他人名义投标、串通投标、以行贿手段谋取中标的；</w:t>
      </w:r>
    </w:p>
    <w:p w14:paraId="32666238">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14:paraId="02DB57C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1.3、评标委员会认定投标人以低于成本报价竞标的；</w:t>
      </w:r>
    </w:p>
    <w:p w14:paraId="12A7472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1.4、投标人未按照要求出席开标会的；</w:t>
      </w:r>
    </w:p>
    <w:p w14:paraId="43B3A0F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1.5、投标报价有错误的，评标委员会将要求投标人作出书面澄清说明和确认，投标人拒不作出澄清说明和确认的；</w:t>
      </w:r>
    </w:p>
    <w:p w14:paraId="322FAE9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2、有下列情形之一的，招标人将重新招标：</w:t>
      </w:r>
    </w:p>
    <w:p w14:paraId="58B98DE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2.1、投标截止时间止，投标人少于3家的；</w:t>
      </w:r>
    </w:p>
    <w:p w14:paraId="71BCFD3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2.2、经评标委员会评审后，符合资格审查的投标人少于3家的。</w:t>
      </w:r>
    </w:p>
    <w:p w14:paraId="08255FA8">
      <w:pPr>
        <w:rPr>
          <w:rFonts w:hint="eastAsia" w:ascii="仿宋" w:hAnsi="仿宋" w:eastAsia="仿宋" w:cs="仿宋"/>
          <w:sz w:val="24"/>
          <w:szCs w:val="24"/>
          <w:lang w:val="en-US" w:eastAsia="zh-CN"/>
        </w:rPr>
      </w:pPr>
    </w:p>
    <w:p w14:paraId="535D4EEE">
      <w:pPr>
        <w:pStyle w:val="5"/>
        <w:numPr>
          <w:ilvl w:val="0"/>
          <w:numId w:val="0"/>
        </w:numPr>
        <w:tabs>
          <w:tab w:val="left" w:pos="312"/>
        </w:tabs>
        <w:snapToGrid w:val="0"/>
        <w:spacing w:line="48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第二章采购需求</w:t>
      </w:r>
    </w:p>
    <w:p w14:paraId="0F5F351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一、采购清单、采购项目交付或者实施的时间和地点</w:t>
      </w:r>
    </w:p>
    <w:p w14:paraId="72EE0D2D">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1.采购项目</w:t>
      </w:r>
    </w:p>
    <w:tbl>
      <w:tblPr>
        <w:tblStyle w:val="11"/>
        <w:tblW w:w="879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1154"/>
        <w:gridCol w:w="2855"/>
        <w:gridCol w:w="2006"/>
        <w:gridCol w:w="2783"/>
      </w:tblGrid>
      <w:tr w14:paraId="4B30461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11" w:hRule="atLeast"/>
          <w:jc w:val="center"/>
        </w:trPr>
        <w:tc>
          <w:tcPr>
            <w:tcW w:w="115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412541">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kern w:val="2"/>
                <w:sz w:val="24"/>
                <w:szCs w:val="24"/>
              </w:rPr>
            </w:pPr>
            <w:r>
              <w:rPr>
                <w:rFonts w:hint="eastAsia" w:ascii="仿宋" w:hAnsi="仿宋" w:eastAsia="仿宋" w:cs="仿宋"/>
                <w:kern w:val="2"/>
                <w:sz w:val="24"/>
                <w:szCs w:val="24"/>
              </w:rPr>
              <w:t>序号</w:t>
            </w:r>
          </w:p>
        </w:tc>
        <w:tc>
          <w:tcPr>
            <w:tcW w:w="285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6A5D069">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kern w:val="2"/>
                <w:sz w:val="24"/>
                <w:szCs w:val="24"/>
              </w:rPr>
            </w:pPr>
            <w:r>
              <w:rPr>
                <w:rFonts w:hint="eastAsia" w:ascii="仿宋" w:hAnsi="仿宋" w:eastAsia="仿宋" w:cs="仿宋"/>
                <w:kern w:val="2"/>
                <w:sz w:val="24"/>
                <w:szCs w:val="24"/>
              </w:rPr>
              <w:t>设备名称</w:t>
            </w:r>
          </w:p>
        </w:tc>
        <w:tc>
          <w:tcPr>
            <w:tcW w:w="200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742B6AF">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kern w:val="2"/>
                <w:sz w:val="24"/>
                <w:szCs w:val="24"/>
                <w:lang w:val="en-US" w:eastAsia="zh-CN"/>
              </w:rPr>
            </w:pPr>
            <w:r>
              <w:rPr>
                <w:rFonts w:hint="eastAsia" w:ascii="仿宋" w:hAnsi="仿宋" w:eastAsia="仿宋" w:cs="仿宋"/>
                <w:kern w:val="2"/>
                <w:sz w:val="24"/>
                <w:szCs w:val="24"/>
                <w:lang w:val="en-US" w:eastAsia="zh-CN"/>
              </w:rPr>
              <w:t>服务期限</w:t>
            </w:r>
          </w:p>
        </w:tc>
        <w:tc>
          <w:tcPr>
            <w:tcW w:w="2783"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221A18EE">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kern w:val="2"/>
                <w:sz w:val="24"/>
                <w:szCs w:val="24"/>
              </w:rPr>
            </w:pPr>
            <w:r>
              <w:rPr>
                <w:rFonts w:hint="eastAsia" w:ascii="仿宋" w:hAnsi="仿宋" w:eastAsia="仿宋" w:cs="仿宋"/>
                <w:kern w:val="2"/>
                <w:sz w:val="24"/>
                <w:szCs w:val="24"/>
              </w:rPr>
              <w:t>预算</w:t>
            </w:r>
            <w:r>
              <w:rPr>
                <w:rFonts w:hint="eastAsia" w:ascii="仿宋" w:hAnsi="仿宋" w:eastAsia="仿宋" w:cs="仿宋"/>
                <w:kern w:val="2"/>
                <w:sz w:val="24"/>
                <w:szCs w:val="24"/>
                <w:lang w:eastAsia="zh-CN"/>
              </w:rPr>
              <w:t>总</w:t>
            </w:r>
            <w:r>
              <w:rPr>
                <w:rFonts w:hint="eastAsia" w:ascii="仿宋" w:hAnsi="仿宋" w:eastAsia="仿宋" w:cs="仿宋"/>
                <w:kern w:val="2"/>
                <w:sz w:val="24"/>
                <w:szCs w:val="24"/>
              </w:rPr>
              <w:t>价（万元）</w:t>
            </w:r>
          </w:p>
        </w:tc>
      </w:tr>
      <w:tr w14:paraId="3CA3BD2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86" w:hRule="atLeast"/>
          <w:jc w:val="center"/>
        </w:trPr>
        <w:tc>
          <w:tcPr>
            <w:tcW w:w="115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6F13EF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kern w:val="2"/>
                <w:sz w:val="24"/>
                <w:szCs w:val="24"/>
                <w:lang w:val="en-US" w:eastAsia="zh-CN"/>
              </w:rPr>
            </w:pPr>
            <w:r>
              <w:rPr>
                <w:rFonts w:hint="eastAsia" w:ascii="仿宋" w:hAnsi="仿宋" w:eastAsia="仿宋" w:cs="仿宋"/>
                <w:kern w:val="2"/>
                <w:sz w:val="24"/>
                <w:szCs w:val="24"/>
                <w:lang w:val="en-US" w:eastAsia="zh-CN"/>
              </w:rPr>
              <w:t>1</w:t>
            </w:r>
          </w:p>
        </w:tc>
        <w:tc>
          <w:tcPr>
            <w:tcW w:w="285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5D771DFA">
            <w:pPr>
              <w:keepNext w:val="0"/>
              <w:keepLines w:val="0"/>
              <w:widowControl/>
              <w:suppressLineNumbers w:val="0"/>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门诊药房自动化设备维保服务</w:t>
            </w:r>
          </w:p>
        </w:tc>
        <w:tc>
          <w:tcPr>
            <w:tcW w:w="200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29805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kern w:val="2"/>
                <w:sz w:val="24"/>
                <w:szCs w:val="24"/>
                <w:lang w:val="en-US" w:eastAsia="zh-CN"/>
              </w:rPr>
            </w:pPr>
            <w:r>
              <w:rPr>
                <w:rFonts w:hint="eastAsia" w:ascii="仿宋" w:hAnsi="仿宋" w:eastAsia="仿宋" w:cs="仿宋"/>
                <w:kern w:val="2"/>
                <w:sz w:val="24"/>
                <w:szCs w:val="24"/>
                <w:lang w:val="en-US" w:eastAsia="zh-CN"/>
              </w:rPr>
              <w:t>2年</w:t>
            </w:r>
          </w:p>
        </w:tc>
        <w:tc>
          <w:tcPr>
            <w:tcW w:w="2783"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244050E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kern w:val="2"/>
                <w:sz w:val="24"/>
                <w:szCs w:val="24"/>
                <w:lang w:val="en-US" w:eastAsia="zh-CN"/>
              </w:rPr>
            </w:pPr>
            <w:r>
              <w:rPr>
                <w:rFonts w:hint="eastAsia" w:ascii="仿宋" w:hAnsi="仿宋" w:eastAsia="仿宋" w:cs="仿宋"/>
                <w:kern w:val="2"/>
                <w:sz w:val="24"/>
                <w:szCs w:val="24"/>
                <w:lang w:val="en-US" w:eastAsia="zh-CN"/>
              </w:rPr>
              <w:t>60</w:t>
            </w:r>
          </w:p>
        </w:tc>
      </w:tr>
    </w:tbl>
    <w:p w14:paraId="5C77B1B6">
      <w:pPr>
        <w:spacing w:line="360" w:lineRule="auto"/>
        <w:rPr>
          <w:rFonts w:hint="eastAsia" w:ascii="仿宋" w:hAnsi="仿宋" w:eastAsia="仿宋" w:cs="仿宋"/>
          <w:bCs/>
          <w:color w:val="auto"/>
          <w:kern w:val="0"/>
          <w:sz w:val="24"/>
          <w:szCs w:val="24"/>
          <w:lang w:val="en-US" w:eastAsia="zh-CN" w:bidi="ar-SA"/>
        </w:rPr>
      </w:pPr>
    </w:p>
    <w:p w14:paraId="0CA7683B">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2、服务时间：双方签订合同时具体约定。</w:t>
      </w:r>
    </w:p>
    <w:p w14:paraId="20193AC1">
      <w:pPr>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3、服务地点：娄底市中心医院。</w:t>
      </w:r>
    </w:p>
    <w:p w14:paraId="563AABB3">
      <w:pPr>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br w:type="page"/>
      </w:r>
    </w:p>
    <w:p w14:paraId="192CF568">
      <w:pPr>
        <w:rPr>
          <w:rFonts w:hint="eastAsia" w:ascii="仿宋" w:hAnsi="仿宋" w:eastAsia="仿宋" w:cs="仿宋"/>
          <w:bCs/>
          <w:color w:val="auto"/>
          <w:kern w:val="0"/>
          <w:sz w:val="24"/>
          <w:szCs w:val="24"/>
          <w:lang w:val="en-US" w:eastAsia="zh-CN" w:bidi="ar-SA"/>
        </w:rPr>
      </w:pPr>
    </w:p>
    <w:p w14:paraId="695CD03B">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二、项目内容及要求（以下内容必须全部响应，否则视为无效投标）</w:t>
      </w:r>
    </w:p>
    <w:p w14:paraId="06C01E10">
      <w:pPr>
        <w:numPr>
          <w:ilvl w:val="0"/>
          <w:numId w:val="0"/>
        </w:numPr>
        <w:jc w:val="left"/>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设备清单：</w:t>
      </w:r>
    </w:p>
    <w:tbl>
      <w:tblPr>
        <w:tblStyle w:val="11"/>
        <w:tblpPr w:leftFromText="180" w:rightFromText="180" w:vertAnchor="page" w:horzAnchor="page" w:tblpX="1486" w:tblpY="2590"/>
        <w:tblOverlap w:val="never"/>
        <w:tblW w:w="84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
        <w:gridCol w:w="2447"/>
        <w:gridCol w:w="1636"/>
        <w:gridCol w:w="825"/>
        <w:gridCol w:w="825"/>
        <w:gridCol w:w="705"/>
        <w:gridCol w:w="1171"/>
      </w:tblGrid>
      <w:tr w14:paraId="390FB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87" w:type="dxa"/>
            <w:tcBorders>
              <w:top w:val="single" w:color="auto" w:sz="4" w:space="0"/>
              <w:left w:val="single" w:color="auto" w:sz="4" w:space="0"/>
              <w:bottom w:val="single" w:color="auto" w:sz="4" w:space="0"/>
              <w:right w:val="single" w:color="auto" w:sz="4" w:space="0"/>
            </w:tcBorders>
            <w:noWrap/>
            <w:vAlign w:val="center"/>
          </w:tcPr>
          <w:p w14:paraId="116231B8">
            <w:pPr>
              <w:jc w:val="center"/>
              <w:rPr>
                <w:rFonts w:hint="eastAsia" w:ascii="仿宋" w:hAnsi="仿宋" w:eastAsia="仿宋" w:cs="仿宋"/>
                <w:sz w:val="24"/>
                <w:szCs w:val="24"/>
              </w:rPr>
            </w:pPr>
            <w:r>
              <w:rPr>
                <w:rFonts w:hint="eastAsia" w:ascii="仿宋" w:hAnsi="仿宋" w:eastAsia="仿宋" w:cs="仿宋"/>
                <w:sz w:val="24"/>
                <w:szCs w:val="24"/>
              </w:rPr>
              <w:t>序号</w:t>
            </w:r>
          </w:p>
        </w:tc>
        <w:tc>
          <w:tcPr>
            <w:tcW w:w="2447" w:type="dxa"/>
            <w:tcBorders>
              <w:top w:val="single" w:color="auto" w:sz="4" w:space="0"/>
              <w:left w:val="single" w:color="auto" w:sz="4" w:space="0"/>
              <w:bottom w:val="single" w:color="auto" w:sz="4" w:space="0"/>
              <w:right w:val="single" w:color="auto" w:sz="4" w:space="0"/>
            </w:tcBorders>
            <w:noWrap/>
            <w:vAlign w:val="center"/>
          </w:tcPr>
          <w:p w14:paraId="5315B22C">
            <w:pPr>
              <w:jc w:val="center"/>
              <w:rPr>
                <w:rFonts w:hint="eastAsia" w:ascii="仿宋" w:hAnsi="仿宋" w:eastAsia="仿宋" w:cs="仿宋"/>
                <w:sz w:val="24"/>
                <w:szCs w:val="24"/>
              </w:rPr>
            </w:pPr>
            <w:r>
              <w:rPr>
                <w:rFonts w:hint="eastAsia" w:ascii="仿宋" w:hAnsi="仿宋" w:eastAsia="仿宋" w:cs="仿宋"/>
                <w:sz w:val="24"/>
                <w:szCs w:val="24"/>
              </w:rPr>
              <w:t>设备名称</w:t>
            </w:r>
          </w:p>
        </w:tc>
        <w:tc>
          <w:tcPr>
            <w:tcW w:w="1636" w:type="dxa"/>
            <w:tcBorders>
              <w:top w:val="single" w:color="auto" w:sz="4" w:space="0"/>
              <w:left w:val="single" w:color="auto" w:sz="4" w:space="0"/>
              <w:bottom w:val="single" w:color="auto" w:sz="4" w:space="0"/>
              <w:right w:val="single" w:color="auto" w:sz="4" w:space="0"/>
            </w:tcBorders>
            <w:noWrap/>
            <w:vAlign w:val="center"/>
          </w:tcPr>
          <w:p w14:paraId="7249584A">
            <w:pPr>
              <w:jc w:val="center"/>
              <w:rPr>
                <w:rFonts w:hint="eastAsia" w:ascii="仿宋" w:hAnsi="仿宋" w:eastAsia="仿宋" w:cs="仿宋"/>
                <w:sz w:val="24"/>
                <w:szCs w:val="24"/>
              </w:rPr>
            </w:pPr>
            <w:r>
              <w:rPr>
                <w:rFonts w:hint="eastAsia" w:ascii="仿宋" w:hAnsi="仿宋" w:eastAsia="仿宋" w:cs="仿宋"/>
                <w:sz w:val="24"/>
                <w:szCs w:val="24"/>
              </w:rPr>
              <w:t>型    号</w:t>
            </w:r>
          </w:p>
        </w:tc>
        <w:tc>
          <w:tcPr>
            <w:tcW w:w="825" w:type="dxa"/>
            <w:tcBorders>
              <w:top w:val="single" w:color="auto" w:sz="4" w:space="0"/>
              <w:left w:val="single" w:color="auto" w:sz="4" w:space="0"/>
              <w:bottom w:val="single" w:color="auto" w:sz="4" w:space="0"/>
              <w:right w:val="single" w:color="auto" w:sz="4" w:space="0"/>
            </w:tcBorders>
            <w:noWrap/>
            <w:vAlign w:val="center"/>
          </w:tcPr>
          <w:p w14:paraId="57F685A0">
            <w:pPr>
              <w:jc w:val="center"/>
              <w:rPr>
                <w:rFonts w:hint="eastAsia" w:ascii="仿宋" w:hAnsi="仿宋" w:eastAsia="仿宋" w:cs="仿宋"/>
                <w:sz w:val="24"/>
                <w:szCs w:val="24"/>
              </w:rPr>
            </w:pPr>
            <w:r>
              <w:rPr>
                <w:rFonts w:hint="eastAsia" w:ascii="仿宋" w:hAnsi="仿宋" w:eastAsia="仿宋" w:cs="仿宋"/>
                <w:sz w:val="24"/>
                <w:szCs w:val="24"/>
              </w:rPr>
              <w:t>品牌</w:t>
            </w:r>
          </w:p>
        </w:tc>
        <w:tc>
          <w:tcPr>
            <w:tcW w:w="825" w:type="dxa"/>
            <w:tcBorders>
              <w:top w:val="single" w:color="auto" w:sz="4" w:space="0"/>
              <w:left w:val="single" w:color="auto" w:sz="4" w:space="0"/>
              <w:bottom w:val="single" w:color="auto" w:sz="4" w:space="0"/>
              <w:right w:val="single" w:color="auto" w:sz="4" w:space="0"/>
            </w:tcBorders>
            <w:noWrap/>
            <w:vAlign w:val="center"/>
          </w:tcPr>
          <w:p w14:paraId="61A6CD3B">
            <w:pPr>
              <w:jc w:val="center"/>
              <w:rPr>
                <w:rFonts w:hint="eastAsia" w:ascii="仿宋" w:hAnsi="仿宋" w:eastAsia="仿宋" w:cs="仿宋"/>
                <w:sz w:val="24"/>
                <w:szCs w:val="24"/>
              </w:rPr>
            </w:pPr>
            <w:r>
              <w:rPr>
                <w:rFonts w:hint="eastAsia" w:ascii="仿宋" w:hAnsi="仿宋" w:eastAsia="仿宋" w:cs="仿宋"/>
                <w:sz w:val="24"/>
                <w:szCs w:val="24"/>
              </w:rPr>
              <w:t>产地</w:t>
            </w:r>
          </w:p>
        </w:tc>
        <w:tc>
          <w:tcPr>
            <w:tcW w:w="705" w:type="dxa"/>
            <w:tcBorders>
              <w:top w:val="single" w:color="auto" w:sz="4" w:space="0"/>
              <w:left w:val="single" w:color="auto" w:sz="4" w:space="0"/>
              <w:bottom w:val="single" w:color="auto" w:sz="4" w:space="0"/>
              <w:right w:val="single" w:color="auto" w:sz="4" w:space="0"/>
            </w:tcBorders>
            <w:noWrap/>
            <w:vAlign w:val="center"/>
          </w:tcPr>
          <w:p w14:paraId="0426AE5E">
            <w:pPr>
              <w:jc w:val="center"/>
              <w:rPr>
                <w:rFonts w:hint="eastAsia" w:ascii="仿宋" w:hAnsi="仿宋" w:eastAsia="仿宋" w:cs="仿宋"/>
                <w:sz w:val="24"/>
                <w:szCs w:val="24"/>
              </w:rPr>
            </w:pPr>
            <w:r>
              <w:rPr>
                <w:rFonts w:hint="eastAsia" w:ascii="仿宋" w:hAnsi="仿宋" w:eastAsia="仿宋" w:cs="仿宋"/>
                <w:sz w:val="24"/>
                <w:szCs w:val="24"/>
              </w:rPr>
              <w:t>单位</w:t>
            </w:r>
          </w:p>
        </w:tc>
        <w:tc>
          <w:tcPr>
            <w:tcW w:w="1171" w:type="dxa"/>
            <w:tcBorders>
              <w:top w:val="single" w:color="auto" w:sz="4" w:space="0"/>
              <w:left w:val="single" w:color="auto" w:sz="4" w:space="0"/>
              <w:bottom w:val="single" w:color="auto" w:sz="4" w:space="0"/>
              <w:right w:val="single" w:color="auto" w:sz="4" w:space="0"/>
            </w:tcBorders>
            <w:noWrap/>
            <w:vAlign w:val="center"/>
          </w:tcPr>
          <w:p w14:paraId="096FD754">
            <w:pPr>
              <w:jc w:val="center"/>
              <w:rPr>
                <w:rFonts w:hint="eastAsia" w:ascii="仿宋" w:hAnsi="仿宋" w:eastAsia="仿宋" w:cs="仿宋"/>
                <w:sz w:val="24"/>
                <w:szCs w:val="24"/>
              </w:rPr>
            </w:pPr>
            <w:r>
              <w:rPr>
                <w:rFonts w:hint="eastAsia" w:ascii="仿宋" w:hAnsi="仿宋" w:eastAsia="仿宋" w:cs="仿宋"/>
                <w:sz w:val="24"/>
                <w:szCs w:val="24"/>
              </w:rPr>
              <w:t>数量</w:t>
            </w:r>
          </w:p>
        </w:tc>
      </w:tr>
      <w:tr w14:paraId="76250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7" w:type="dxa"/>
            <w:tcBorders>
              <w:top w:val="single" w:color="auto" w:sz="4" w:space="0"/>
              <w:left w:val="single" w:color="auto" w:sz="4" w:space="0"/>
              <w:bottom w:val="single" w:color="auto" w:sz="4" w:space="0"/>
              <w:right w:val="single" w:color="auto" w:sz="4" w:space="0"/>
            </w:tcBorders>
            <w:noWrap/>
            <w:vAlign w:val="center"/>
          </w:tcPr>
          <w:p w14:paraId="288F88CE">
            <w:pPr>
              <w:jc w:val="center"/>
              <w:rPr>
                <w:rFonts w:hint="eastAsia" w:ascii="仿宋" w:hAnsi="仿宋" w:eastAsia="仿宋" w:cs="仿宋"/>
                <w:sz w:val="24"/>
                <w:szCs w:val="24"/>
              </w:rPr>
            </w:pPr>
            <w:r>
              <w:rPr>
                <w:rFonts w:hint="eastAsia" w:ascii="仿宋" w:hAnsi="仿宋" w:eastAsia="仿宋" w:cs="仿宋"/>
                <w:sz w:val="24"/>
                <w:szCs w:val="24"/>
              </w:rPr>
              <w:t>1</w:t>
            </w:r>
          </w:p>
        </w:tc>
        <w:tc>
          <w:tcPr>
            <w:tcW w:w="2447" w:type="dxa"/>
            <w:tcBorders>
              <w:top w:val="single" w:color="auto" w:sz="4" w:space="0"/>
              <w:left w:val="single" w:color="auto" w:sz="4" w:space="0"/>
              <w:bottom w:val="single" w:color="auto" w:sz="4" w:space="0"/>
              <w:right w:val="single" w:color="auto" w:sz="4" w:space="0"/>
            </w:tcBorders>
            <w:noWrap/>
            <w:vAlign w:val="center"/>
          </w:tcPr>
          <w:p w14:paraId="0D487B1F">
            <w:pPr>
              <w:spacing w:line="240" w:lineRule="auto"/>
              <w:jc w:val="center"/>
              <w:rPr>
                <w:rFonts w:hint="eastAsia" w:ascii="仿宋" w:hAnsi="仿宋" w:eastAsia="仿宋" w:cs="仿宋"/>
                <w:sz w:val="24"/>
                <w:szCs w:val="24"/>
              </w:rPr>
            </w:pPr>
            <w:r>
              <w:rPr>
                <w:rFonts w:hint="eastAsia" w:ascii="仿宋" w:hAnsi="仿宋" w:eastAsia="仿宋" w:cs="仿宋"/>
                <w:sz w:val="24"/>
                <w:szCs w:val="24"/>
              </w:rPr>
              <w:t>快速发药系统</w:t>
            </w:r>
          </w:p>
        </w:tc>
        <w:tc>
          <w:tcPr>
            <w:tcW w:w="1636" w:type="dxa"/>
            <w:tcBorders>
              <w:top w:val="single" w:color="auto" w:sz="4" w:space="0"/>
              <w:left w:val="single" w:color="auto" w:sz="4" w:space="0"/>
              <w:bottom w:val="single" w:color="auto" w:sz="4" w:space="0"/>
              <w:right w:val="single" w:color="auto" w:sz="4" w:space="0"/>
            </w:tcBorders>
            <w:noWrap/>
            <w:vAlign w:val="center"/>
          </w:tcPr>
          <w:p w14:paraId="39710933">
            <w:pPr>
              <w:spacing w:line="240" w:lineRule="auto"/>
              <w:jc w:val="center"/>
              <w:rPr>
                <w:rFonts w:hint="eastAsia" w:ascii="仿宋" w:hAnsi="仿宋" w:eastAsia="仿宋" w:cs="仿宋"/>
                <w:sz w:val="24"/>
                <w:szCs w:val="24"/>
              </w:rPr>
            </w:pPr>
            <w:r>
              <w:rPr>
                <w:rFonts w:hint="eastAsia" w:ascii="仿宋" w:hAnsi="仿宋" w:eastAsia="仿宋" w:cs="仿宋"/>
                <w:sz w:val="24"/>
                <w:szCs w:val="24"/>
              </w:rPr>
              <w:t>IRON-1200</w:t>
            </w:r>
          </w:p>
        </w:tc>
        <w:tc>
          <w:tcPr>
            <w:tcW w:w="825" w:type="dxa"/>
            <w:tcBorders>
              <w:top w:val="single" w:color="auto" w:sz="4" w:space="0"/>
              <w:left w:val="single" w:color="auto" w:sz="4" w:space="0"/>
              <w:bottom w:val="single" w:color="auto" w:sz="4" w:space="0"/>
              <w:right w:val="single" w:color="auto" w:sz="4" w:space="0"/>
            </w:tcBorders>
            <w:noWrap/>
            <w:vAlign w:val="center"/>
          </w:tcPr>
          <w:p w14:paraId="76F083E1">
            <w:pPr>
              <w:jc w:val="center"/>
              <w:rPr>
                <w:rFonts w:hint="eastAsia" w:ascii="仿宋" w:hAnsi="仿宋" w:eastAsia="仿宋" w:cs="仿宋"/>
                <w:sz w:val="24"/>
                <w:szCs w:val="24"/>
              </w:rPr>
            </w:pPr>
            <w:r>
              <w:rPr>
                <w:rFonts w:hint="eastAsia" w:ascii="仿宋" w:hAnsi="仿宋" w:eastAsia="仿宋" w:cs="仿宋"/>
                <w:sz w:val="24"/>
                <w:szCs w:val="24"/>
              </w:rPr>
              <w:t>艾隆</w:t>
            </w:r>
          </w:p>
        </w:tc>
        <w:tc>
          <w:tcPr>
            <w:tcW w:w="825" w:type="dxa"/>
            <w:tcBorders>
              <w:top w:val="single" w:color="auto" w:sz="4" w:space="0"/>
              <w:left w:val="single" w:color="auto" w:sz="4" w:space="0"/>
              <w:bottom w:val="single" w:color="auto" w:sz="4" w:space="0"/>
              <w:right w:val="single" w:color="auto" w:sz="4" w:space="0"/>
            </w:tcBorders>
            <w:noWrap/>
            <w:vAlign w:val="center"/>
          </w:tcPr>
          <w:p w14:paraId="44BAF9BF">
            <w:pPr>
              <w:jc w:val="center"/>
              <w:rPr>
                <w:rFonts w:hint="eastAsia" w:ascii="仿宋" w:hAnsi="仿宋" w:eastAsia="仿宋" w:cs="仿宋"/>
                <w:sz w:val="24"/>
                <w:szCs w:val="24"/>
              </w:rPr>
            </w:pPr>
            <w:r>
              <w:rPr>
                <w:rFonts w:hint="eastAsia" w:ascii="仿宋" w:hAnsi="仿宋" w:eastAsia="仿宋" w:cs="仿宋"/>
                <w:sz w:val="24"/>
                <w:szCs w:val="24"/>
              </w:rPr>
              <w:t>苏州</w:t>
            </w:r>
          </w:p>
        </w:tc>
        <w:tc>
          <w:tcPr>
            <w:tcW w:w="705" w:type="dxa"/>
            <w:tcBorders>
              <w:top w:val="single" w:color="auto" w:sz="4" w:space="0"/>
              <w:left w:val="single" w:color="auto" w:sz="4" w:space="0"/>
              <w:bottom w:val="single" w:color="auto" w:sz="4" w:space="0"/>
              <w:right w:val="single" w:color="auto" w:sz="4" w:space="0"/>
            </w:tcBorders>
            <w:noWrap/>
            <w:vAlign w:val="center"/>
          </w:tcPr>
          <w:p w14:paraId="10FDA465">
            <w:pPr>
              <w:jc w:val="center"/>
              <w:rPr>
                <w:rFonts w:hint="eastAsia" w:ascii="仿宋" w:hAnsi="仿宋" w:eastAsia="仿宋" w:cs="仿宋"/>
                <w:sz w:val="24"/>
                <w:szCs w:val="24"/>
              </w:rPr>
            </w:pPr>
            <w:r>
              <w:rPr>
                <w:rFonts w:hint="eastAsia" w:ascii="仿宋" w:hAnsi="仿宋" w:eastAsia="仿宋" w:cs="仿宋"/>
                <w:sz w:val="24"/>
                <w:szCs w:val="24"/>
              </w:rPr>
              <w:t>台</w:t>
            </w:r>
          </w:p>
        </w:tc>
        <w:tc>
          <w:tcPr>
            <w:tcW w:w="1171" w:type="dxa"/>
            <w:tcBorders>
              <w:top w:val="single" w:color="auto" w:sz="4" w:space="0"/>
              <w:left w:val="single" w:color="auto" w:sz="4" w:space="0"/>
              <w:bottom w:val="single" w:color="auto" w:sz="4" w:space="0"/>
              <w:right w:val="single" w:color="auto" w:sz="4" w:space="0"/>
            </w:tcBorders>
            <w:noWrap/>
            <w:vAlign w:val="center"/>
          </w:tcPr>
          <w:p w14:paraId="1ED9B3F6">
            <w:pPr>
              <w:spacing w:line="24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r>
      <w:tr w14:paraId="75E8F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7" w:type="dxa"/>
            <w:tcBorders>
              <w:top w:val="single" w:color="auto" w:sz="4" w:space="0"/>
              <w:left w:val="single" w:color="auto" w:sz="4" w:space="0"/>
              <w:bottom w:val="single" w:color="auto" w:sz="4" w:space="0"/>
              <w:right w:val="single" w:color="auto" w:sz="4" w:space="0"/>
            </w:tcBorders>
            <w:noWrap/>
            <w:vAlign w:val="center"/>
          </w:tcPr>
          <w:p w14:paraId="7C335B00">
            <w:pPr>
              <w:jc w:val="center"/>
              <w:rPr>
                <w:rFonts w:hint="eastAsia" w:ascii="仿宋" w:hAnsi="仿宋" w:eastAsia="仿宋" w:cs="仿宋"/>
                <w:sz w:val="24"/>
                <w:szCs w:val="24"/>
              </w:rPr>
            </w:pPr>
            <w:r>
              <w:rPr>
                <w:rFonts w:hint="eastAsia" w:ascii="仿宋" w:hAnsi="仿宋" w:eastAsia="仿宋" w:cs="仿宋"/>
                <w:sz w:val="24"/>
                <w:szCs w:val="24"/>
              </w:rPr>
              <w:t>2</w:t>
            </w:r>
          </w:p>
        </w:tc>
        <w:tc>
          <w:tcPr>
            <w:tcW w:w="2447" w:type="dxa"/>
            <w:tcBorders>
              <w:top w:val="single" w:color="auto" w:sz="4" w:space="0"/>
              <w:left w:val="single" w:color="auto" w:sz="4" w:space="0"/>
              <w:bottom w:val="single" w:color="auto" w:sz="4" w:space="0"/>
              <w:right w:val="single" w:color="auto" w:sz="4" w:space="0"/>
            </w:tcBorders>
            <w:noWrap/>
            <w:vAlign w:val="center"/>
          </w:tcPr>
          <w:p w14:paraId="4DC62D68">
            <w:pPr>
              <w:spacing w:line="240" w:lineRule="auto"/>
              <w:jc w:val="center"/>
              <w:rPr>
                <w:rFonts w:hint="eastAsia" w:ascii="仿宋" w:hAnsi="仿宋" w:eastAsia="仿宋" w:cs="仿宋"/>
                <w:sz w:val="24"/>
                <w:szCs w:val="24"/>
              </w:rPr>
            </w:pPr>
            <w:r>
              <w:rPr>
                <w:rFonts w:hint="eastAsia" w:ascii="仿宋" w:hAnsi="仿宋" w:eastAsia="仿宋" w:cs="仿宋"/>
                <w:sz w:val="24"/>
                <w:szCs w:val="24"/>
              </w:rPr>
              <w:t>智能调配机</w:t>
            </w:r>
          </w:p>
        </w:tc>
        <w:tc>
          <w:tcPr>
            <w:tcW w:w="1636" w:type="dxa"/>
            <w:tcBorders>
              <w:top w:val="single" w:color="auto" w:sz="4" w:space="0"/>
              <w:left w:val="single" w:color="auto" w:sz="4" w:space="0"/>
              <w:bottom w:val="single" w:color="auto" w:sz="4" w:space="0"/>
              <w:right w:val="single" w:color="auto" w:sz="4" w:space="0"/>
            </w:tcBorders>
            <w:noWrap/>
            <w:vAlign w:val="center"/>
          </w:tcPr>
          <w:p w14:paraId="695E44B9">
            <w:pPr>
              <w:spacing w:line="240" w:lineRule="auto"/>
              <w:jc w:val="center"/>
              <w:rPr>
                <w:rFonts w:hint="eastAsia" w:ascii="仿宋" w:hAnsi="仿宋" w:eastAsia="仿宋" w:cs="仿宋"/>
                <w:sz w:val="24"/>
                <w:szCs w:val="24"/>
              </w:rPr>
            </w:pPr>
            <w:r>
              <w:rPr>
                <w:rFonts w:hint="eastAsia" w:ascii="仿宋" w:hAnsi="仿宋" w:eastAsia="仿宋" w:cs="仿宋"/>
                <w:sz w:val="24"/>
                <w:szCs w:val="24"/>
              </w:rPr>
              <w:t>IRON-108</w:t>
            </w:r>
          </w:p>
        </w:tc>
        <w:tc>
          <w:tcPr>
            <w:tcW w:w="825" w:type="dxa"/>
            <w:tcBorders>
              <w:top w:val="single" w:color="auto" w:sz="4" w:space="0"/>
              <w:left w:val="single" w:color="auto" w:sz="4" w:space="0"/>
              <w:bottom w:val="single" w:color="auto" w:sz="4" w:space="0"/>
              <w:right w:val="single" w:color="auto" w:sz="4" w:space="0"/>
            </w:tcBorders>
            <w:noWrap/>
            <w:vAlign w:val="center"/>
          </w:tcPr>
          <w:p w14:paraId="24C87E71">
            <w:pPr>
              <w:jc w:val="center"/>
              <w:rPr>
                <w:rFonts w:hint="eastAsia" w:ascii="仿宋" w:hAnsi="仿宋" w:eastAsia="仿宋" w:cs="仿宋"/>
                <w:sz w:val="24"/>
                <w:szCs w:val="24"/>
              </w:rPr>
            </w:pPr>
            <w:r>
              <w:rPr>
                <w:rFonts w:hint="eastAsia" w:ascii="仿宋" w:hAnsi="仿宋" w:eastAsia="仿宋" w:cs="仿宋"/>
                <w:sz w:val="24"/>
                <w:szCs w:val="24"/>
              </w:rPr>
              <w:t>艾隆</w:t>
            </w:r>
          </w:p>
        </w:tc>
        <w:tc>
          <w:tcPr>
            <w:tcW w:w="825" w:type="dxa"/>
            <w:tcBorders>
              <w:top w:val="single" w:color="auto" w:sz="4" w:space="0"/>
              <w:left w:val="single" w:color="auto" w:sz="4" w:space="0"/>
              <w:bottom w:val="single" w:color="auto" w:sz="4" w:space="0"/>
              <w:right w:val="single" w:color="auto" w:sz="4" w:space="0"/>
            </w:tcBorders>
            <w:noWrap/>
            <w:vAlign w:val="center"/>
          </w:tcPr>
          <w:p w14:paraId="26D35855">
            <w:pPr>
              <w:jc w:val="center"/>
              <w:rPr>
                <w:rFonts w:hint="eastAsia" w:ascii="仿宋" w:hAnsi="仿宋" w:eastAsia="仿宋" w:cs="仿宋"/>
                <w:sz w:val="24"/>
                <w:szCs w:val="24"/>
              </w:rPr>
            </w:pPr>
            <w:r>
              <w:rPr>
                <w:rFonts w:hint="eastAsia" w:ascii="仿宋" w:hAnsi="仿宋" w:eastAsia="仿宋" w:cs="仿宋"/>
                <w:sz w:val="24"/>
                <w:szCs w:val="24"/>
              </w:rPr>
              <w:t>苏州</w:t>
            </w:r>
          </w:p>
        </w:tc>
        <w:tc>
          <w:tcPr>
            <w:tcW w:w="705" w:type="dxa"/>
            <w:tcBorders>
              <w:top w:val="single" w:color="auto" w:sz="4" w:space="0"/>
              <w:left w:val="single" w:color="auto" w:sz="4" w:space="0"/>
              <w:bottom w:val="single" w:color="auto" w:sz="4" w:space="0"/>
              <w:right w:val="single" w:color="auto" w:sz="4" w:space="0"/>
            </w:tcBorders>
            <w:noWrap/>
            <w:vAlign w:val="center"/>
          </w:tcPr>
          <w:p w14:paraId="4B25CBDD">
            <w:pPr>
              <w:jc w:val="center"/>
              <w:rPr>
                <w:rFonts w:hint="eastAsia" w:ascii="仿宋" w:hAnsi="仿宋" w:eastAsia="仿宋" w:cs="仿宋"/>
                <w:sz w:val="24"/>
                <w:szCs w:val="24"/>
              </w:rPr>
            </w:pPr>
            <w:r>
              <w:rPr>
                <w:rFonts w:hint="eastAsia" w:ascii="仿宋" w:hAnsi="仿宋" w:eastAsia="仿宋" w:cs="仿宋"/>
                <w:sz w:val="24"/>
                <w:szCs w:val="24"/>
              </w:rPr>
              <w:t>台</w:t>
            </w:r>
          </w:p>
        </w:tc>
        <w:tc>
          <w:tcPr>
            <w:tcW w:w="1171" w:type="dxa"/>
            <w:tcBorders>
              <w:top w:val="single" w:color="auto" w:sz="4" w:space="0"/>
              <w:left w:val="single" w:color="auto" w:sz="4" w:space="0"/>
              <w:bottom w:val="single" w:color="auto" w:sz="4" w:space="0"/>
              <w:right w:val="single" w:color="auto" w:sz="4" w:space="0"/>
            </w:tcBorders>
            <w:noWrap/>
            <w:vAlign w:val="center"/>
          </w:tcPr>
          <w:p w14:paraId="76A8634E">
            <w:pPr>
              <w:spacing w:line="24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r>
      <w:tr w14:paraId="61952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7" w:type="dxa"/>
            <w:tcBorders>
              <w:top w:val="single" w:color="auto" w:sz="4" w:space="0"/>
              <w:left w:val="single" w:color="auto" w:sz="4" w:space="0"/>
              <w:bottom w:val="single" w:color="auto" w:sz="4" w:space="0"/>
              <w:right w:val="single" w:color="auto" w:sz="4" w:space="0"/>
            </w:tcBorders>
            <w:noWrap/>
            <w:vAlign w:val="center"/>
          </w:tcPr>
          <w:p w14:paraId="58670F6A">
            <w:pPr>
              <w:jc w:val="center"/>
              <w:rPr>
                <w:rFonts w:hint="eastAsia" w:ascii="仿宋" w:hAnsi="仿宋" w:eastAsia="仿宋" w:cs="仿宋"/>
                <w:sz w:val="24"/>
                <w:szCs w:val="24"/>
              </w:rPr>
            </w:pPr>
            <w:r>
              <w:rPr>
                <w:rFonts w:hint="eastAsia" w:ascii="仿宋" w:hAnsi="仿宋" w:eastAsia="仿宋" w:cs="仿宋"/>
                <w:sz w:val="24"/>
                <w:szCs w:val="24"/>
              </w:rPr>
              <w:t>3</w:t>
            </w:r>
          </w:p>
        </w:tc>
        <w:tc>
          <w:tcPr>
            <w:tcW w:w="2447" w:type="dxa"/>
            <w:tcBorders>
              <w:top w:val="single" w:color="auto" w:sz="4" w:space="0"/>
              <w:left w:val="single" w:color="auto" w:sz="4" w:space="0"/>
              <w:bottom w:val="single" w:color="auto" w:sz="4" w:space="0"/>
              <w:right w:val="single" w:color="auto" w:sz="4" w:space="0"/>
            </w:tcBorders>
            <w:noWrap/>
            <w:vAlign w:val="center"/>
          </w:tcPr>
          <w:p w14:paraId="3D3503C9">
            <w:pPr>
              <w:spacing w:line="24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独立高速发药机</w:t>
            </w:r>
          </w:p>
        </w:tc>
        <w:tc>
          <w:tcPr>
            <w:tcW w:w="1636" w:type="dxa"/>
            <w:tcBorders>
              <w:top w:val="single" w:color="auto" w:sz="4" w:space="0"/>
              <w:left w:val="single" w:color="auto" w:sz="4" w:space="0"/>
              <w:bottom w:val="single" w:color="auto" w:sz="4" w:space="0"/>
              <w:right w:val="single" w:color="auto" w:sz="4" w:space="0"/>
            </w:tcBorders>
            <w:noWrap/>
            <w:vAlign w:val="center"/>
          </w:tcPr>
          <w:p w14:paraId="2743FA4B">
            <w:pPr>
              <w:spacing w:line="240" w:lineRule="auto"/>
              <w:jc w:val="center"/>
              <w:rPr>
                <w:rFonts w:hint="eastAsia" w:ascii="仿宋" w:hAnsi="仿宋" w:eastAsia="仿宋" w:cs="仿宋"/>
                <w:sz w:val="24"/>
                <w:szCs w:val="24"/>
              </w:rPr>
            </w:pPr>
            <w:r>
              <w:rPr>
                <w:rFonts w:hint="eastAsia" w:ascii="仿宋" w:hAnsi="仿宋" w:eastAsia="仿宋" w:cs="仿宋"/>
                <w:sz w:val="24"/>
                <w:szCs w:val="24"/>
              </w:rPr>
              <w:t>IRON-G</w:t>
            </w:r>
            <w:r>
              <w:rPr>
                <w:rFonts w:hint="eastAsia" w:ascii="仿宋" w:hAnsi="仿宋" w:eastAsia="仿宋" w:cs="仿宋"/>
                <w:sz w:val="24"/>
                <w:szCs w:val="24"/>
                <w:lang w:val="en-US" w:eastAsia="zh-CN"/>
              </w:rPr>
              <w:t>100</w:t>
            </w:r>
          </w:p>
        </w:tc>
        <w:tc>
          <w:tcPr>
            <w:tcW w:w="825" w:type="dxa"/>
            <w:tcBorders>
              <w:top w:val="single" w:color="auto" w:sz="4" w:space="0"/>
              <w:left w:val="single" w:color="auto" w:sz="4" w:space="0"/>
              <w:bottom w:val="single" w:color="auto" w:sz="4" w:space="0"/>
              <w:right w:val="single" w:color="auto" w:sz="4" w:space="0"/>
            </w:tcBorders>
            <w:noWrap/>
            <w:vAlign w:val="center"/>
          </w:tcPr>
          <w:p w14:paraId="00C56689">
            <w:pPr>
              <w:jc w:val="center"/>
              <w:rPr>
                <w:rFonts w:hint="eastAsia" w:ascii="仿宋" w:hAnsi="仿宋" w:eastAsia="仿宋" w:cs="仿宋"/>
                <w:sz w:val="24"/>
                <w:szCs w:val="24"/>
              </w:rPr>
            </w:pPr>
            <w:r>
              <w:rPr>
                <w:rFonts w:hint="eastAsia" w:ascii="仿宋" w:hAnsi="仿宋" w:eastAsia="仿宋" w:cs="仿宋"/>
                <w:sz w:val="24"/>
                <w:szCs w:val="24"/>
              </w:rPr>
              <w:t>艾隆</w:t>
            </w:r>
          </w:p>
        </w:tc>
        <w:tc>
          <w:tcPr>
            <w:tcW w:w="825" w:type="dxa"/>
            <w:tcBorders>
              <w:top w:val="single" w:color="auto" w:sz="4" w:space="0"/>
              <w:left w:val="single" w:color="auto" w:sz="4" w:space="0"/>
              <w:bottom w:val="single" w:color="auto" w:sz="4" w:space="0"/>
              <w:right w:val="single" w:color="auto" w:sz="4" w:space="0"/>
            </w:tcBorders>
            <w:noWrap/>
            <w:vAlign w:val="center"/>
          </w:tcPr>
          <w:p w14:paraId="38233643">
            <w:pPr>
              <w:jc w:val="center"/>
              <w:rPr>
                <w:rFonts w:hint="eastAsia" w:ascii="仿宋" w:hAnsi="仿宋" w:eastAsia="仿宋" w:cs="仿宋"/>
                <w:sz w:val="24"/>
                <w:szCs w:val="24"/>
              </w:rPr>
            </w:pPr>
            <w:r>
              <w:rPr>
                <w:rFonts w:hint="eastAsia" w:ascii="仿宋" w:hAnsi="仿宋" w:eastAsia="仿宋" w:cs="仿宋"/>
                <w:sz w:val="24"/>
                <w:szCs w:val="24"/>
              </w:rPr>
              <w:t>苏州</w:t>
            </w:r>
          </w:p>
        </w:tc>
        <w:tc>
          <w:tcPr>
            <w:tcW w:w="705" w:type="dxa"/>
            <w:tcBorders>
              <w:top w:val="single" w:color="auto" w:sz="4" w:space="0"/>
              <w:left w:val="single" w:color="auto" w:sz="4" w:space="0"/>
              <w:bottom w:val="single" w:color="auto" w:sz="4" w:space="0"/>
              <w:right w:val="single" w:color="auto" w:sz="4" w:space="0"/>
            </w:tcBorders>
            <w:noWrap/>
            <w:vAlign w:val="center"/>
          </w:tcPr>
          <w:p w14:paraId="45905939">
            <w:pPr>
              <w:jc w:val="center"/>
              <w:rPr>
                <w:rFonts w:hint="eastAsia" w:ascii="仿宋" w:hAnsi="仿宋" w:eastAsia="仿宋" w:cs="仿宋"/>
                <w:sz w:val="24"/>
                <w:szCs w:val="24"/>
              </w:rPr>
            </w:pPr>
            <w:r>
              <w:rPr>
                <w:rFonts w:hint="eastAsia" w:ascii="仿宋" w:hAnsi="仿宋" w:eastAsia="仿宋" w:cs="仿宋"/>
                <w:sz w:val="24"/>
                <w:szCs w:val="24"/>
              </w:rPr>
              <w:t>台</w:t>
            </w:r>
          </w:p>
        </w:tc>
        <w:tc>
          <w:tcPr>
            <w:tcW w:w="1171" w:type="dxa"/>
            <w:tcBorders>
              <w:top w:val="single" w:color="auto" w:sz="4" w:space="0"/>
              <w:left w:val="single" w:color="auto" w:sz="4" w:space="0"/>
              <w:bottom w:val="single" w:color="auto" w:sz="4" w:space="0"/>
              <w:right w:val="single" w:color="auto" w:sz="4" w:space="0"/>
            </w:tcBorders>
            <w:noWrap/>
            <w:vAlign w:val="center"/>
          </w:tcPr>
          <w:p w14:paraId="559599D9">
            <w:pPr>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r>
      <w:tr w14:paraId="4A9FC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7" w:type="dxa"/>
            <w:tcBorders>
              <w:top w:val="single" w:color="auto" w:sz="4" w:space="0"/>
              <w:left w:val="single" w:color="auto" w:sz="4" w:space="0"/>
              <w:bottom w:val="single" w:color="auto" w:sz="4" w:space="0"/>
              <w:right w:val="single" w:color="auto" w:sz="4" w:space="0"/>
            </w:tcBorders>
            <w:noWrap/>
            <w:vAlign w:val="center"/>
          </w:tcPr>
          <w:p w14:paraId="011E28BE">
            <w:pPr>
              <w:jc w:val="center"/>
              <w:rPr>
                <w:rFonts w:hint="eastAsia" w:ascii="仿宋" w:hAnsi="仿宋" w:eastAsia="仿宋" w:cs="仿宋"/>
                <w:sz w:val="24"/>
                <w:szCs w:val="24"/>
              </w:rPr>
            </w:pPr>
            <w:r>
              <w:rPr>
                <w:rFonts w:hint="eastAsia" w:ascii="仿宋" w:hAnsi="仿宋" w:eastAsia="仿宋" w:cs="仿宋"/>
                <w:sz w:val="24"/>
                <w:szCs w:val="24"/>
              </w:rPr>
              <w:t>4</w:t>
            </w:r>
          </w:p>
        </w:tc>
        <w:tc>
          <w:tcPr>
            <w:tcW w:w="2447" w:type="dxa"/>
            <w:tcBorders>
              <w:top w:val="single" w:color="auto" w:sz="4" w:space="0"/>
              <w:left w:val="single" w:color="auto" w:sz="4" w:space="0"/>
              <w:bottom w:val="single" w:color="auto" w:sz="4" w:space="0"/>
              <w:right w:val="single" w:color="auto" w:sz="4" w:space="0"/>
            </w:tcBorders>
            <w:noWrap/>
            <w:vAlign w:val="center"/>
          </w:tcPr>
          <w:p w14:paraId="31AF1BCF">
            <w:pPr>
              <w:spacing w:line="24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嵌入式高速发药机</w:t>
            </w:r>
          </w:p>
        </w:tc>
        <w:tc>
          <w:tcPr>
            <w:tcW w:w="1636" w:type="dxa"/>
            <w:tcBorders>
              <w:top w:val="single" w:color="auto" w:sz="4" w:space="0"/>
              <w:left w:val="single" w:color="auto" w:sz="4" w:space="0"/>
              <w:bottom w:val="single" w:color="auto" w:sz="4" w:space="0"/>
              <w:right w:val="single" w:color="auto" w:sz="4" w:space="0"/>
            </w:tcBorders>
            <w:noWrap/>
            <w:vAlign w:val="center"/>
          </w:tcPr>
          <w:p w14:paraId="46683B10">
            <w:pPr>
              <w:spacing w:line="240" w:lineRule="auto"/>
              <w:jc w:val="center"/>
              <w:rPr>
                <w:rFonts w:hint="eastAsia" w:ascii="仿宋" w:hAnsi="仿宋" w:eastAsia="仿宋" w:cs="仿宋"/>
                <w:sz w:val="24"/>
                <w:szCs w:val="24"/>
              </w:rPr>
            </w:pPr>
            <w:r>
              <w:rPr>
                <w:rFonts w:hint="eastAsia" w:ascii="仿宋" w:hAnsi="仿宋" w:eastAsia="仿宋" w:cs="仿宋"/>
                <w:sz w:val="24"/>
                <w:szCs w:val="24"/>
              </w:rPr>
              <w:t>IRON-G46</w:t>
            </w:r>
          </w:p>
        </w:tc>
        <w:tc>
          <w:tcPr>
            <w:tcW w:w="825" w:type="dxa"/>
            <w:tcBorders>
              <w:top w:val="single" w:color="auto" w:sz="4" w:space="0"/>
              <w:left w:val="single" w:color="auto" w:sz="4" w:space="0"/>
              <w:bottom w:val="single" w:color="auto" w:sz="4" w:space="0"/>
              <w:right w:val="single" w:color="auto" w:sz="4" w:space="0"/>
            </w:tcBorders>
            <w:noWrap/>
            <w:vAlign w:val="center"/>
          </w:tcPr>
          <w:p w14:paraId="312B080F">
            <w:pPr>
              <w:jc w:val="center"/>
              <w:rPr>
                <w:rFonts w:hint="eastAsia" w:ascii="仿宋" w:hAnsi="仿宋" w:eastAsia="仿宋" w:cs="仿宋"/>
                <w:sz w:val="24"/>
                <w:szCs w:val="24"/>
              </w:rPr>
            </w:pPr>
            <w:r>
              <w:rPr>
                <w:rFonts w:hint="eastAsia" w:ascii="仿宋" w:hAnsi="仿宋" w:eastAsia="仿宋" w:cs="仿宋"/>
                <w:sz w:val="24"/>
                <w:szCs w:val="24"/>
              </w:rPr>
              <w:t>艾隆</w:t>
            </w:r>
          </w:p>
        </w:tc>
        <w:tc>
          <w:tcPr>
            <w:tcW w:w="825" w:type="dxa"/>
            <w:tcBorders>
              <w:top w:val="single" w:color="auto" w:sz="4" w:space="0"/>
              <w:left w:val="single" w:color="auto" w:sz="4" w:space="0"/>
              <w:bottom w:val="single" w:color="auto" w:sz="4" w:space="0"/>
              <w:right w:val="single" w:color="auto" w:sz="4" w:space="0"/>
            </w:tcBorders>
            <w:noWrap/>
            <w:vAlign w:val="center"/>
          </w:tcPr>
          <w:p w14:paraId="3F26849C">
            <w:pPr>
              <w:jc w:val="center"/>
              <w:rPr>
                <w:rFonts w:hint="eastAsia" w:ascii="仿宋" w:hAnsi="仿宋" w:eastAsia="仿宋" w:cs="仿宋"/>
                <w:sz w:val="24"/>
                <w:szCs w:val="24"/>
              </w:rPr>
            </w:pPr>
            <w:r>
              <w:rPr>
                <w:rFonts w:hint="eastAsia" w:ascii="仿宋" w:hAnsi="仿宋" w:eastAsia="仿宋" w:cs="仿宋"/>
                <w:sz w:val="24"/>
                <w:szCs w:val="24"/>
              </w:rPr>
              <w:t>苏州</w:t>
            </w:r>
          </w:p>
        </w:tc>
        <w:tc>
          <w:tcPr>
            <w:tcW w:w="705" w:type="dxa"/>
            <w:tcBorders>
              <w:top w:val="single" w:color="auto" w:sz="4" w:space="0"/>
              <w:left w:val="single" w:color="auto" w:sz="4" w:space="0"/>
              <w:bottom w:val="single" w:color="auto" w:sz="4" w:space="0"/>
              <w:right w:val="single" w:color="auto" w:sz="4" w:space="0"/>
            </w:tcBorders>
            <w:noWrap/>
            <w:vAlign w:val="center"/>
          </w:tcPr>
          <w:p w14:paraId="5353CE7B">
            <w:pPr>
              <w:jc w:val="center"/>
              <w:rPr>
                <w:rFonts w:hint="eastAsia" w:ascii="仿宋" w:hAnsi="仿宋" w:eastAsia="仿宋" w:cs="仿宋"/>
                <w:sz w:val="24"/>
                <w:szCs w:val="24"/>
              </w:rPr>
            </w:pPr>
            <w:r>
              <w:rPr>
                <w:rFonts w:hint="eastAsia" w:ascii="仿宋" w:hAnsi="仿宋" w:eastAsia="仿宋" w:cs="仿宋"/>
                <w:sz w:val="24"/>
                <w:szCs w:val="24"/>
              </w:rPr>
              <w:t>套</w:t>
            </w:r>
          </w:p>
        </w:tc>
        <w:tc>
          <w:tcPr>
            <w:tcW w:w="1171" w:type="dxa"/>
            <w:tcBorders>
              <w:top w:val="single" w:color="auto" w:sz="4" w:space="0"/>
              <w:left w:val="single" w:color="auto" w:sz="4" w:space="0"/>
              <w:bottom w:val="single" w:color="auto" w:sz="4" w:space="0"/>
              <w:right w:val="single" w:color="auto" w:sz="4" w:space="0"/>
            </w:tcBorders>
            <w:noWrap/>
            <w:vAlign w:val="center"/>
          </w:tcPr>
          <w:p w14:paraId="07349BB6">
            <w:pPr>
              <w:spacing w:line="24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r>
      <w:tr w14:paraId="3E2E4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7" w:type="dxa"/>
            <w:tcBorders>
              <w:top w:val="single" w:color="auto" w:sz="4" w:space="0"/>
              <w:left w:val="single" w:color="auto" w:sz="4" w:space="0"/>
              <w:bottom w:val="single" w:color="auto" w:sz="4" w:space="0"/>
              <w:right w:val="single" w:color="auto" w:sz="4" w:space="0"/>
            </w:tcBorders>
            <w:noWrap/>
            <w:vAlign w:val="center"/>
          </w:tcPr>
          <w:p w14:paraId="3354AE07">
            <w:pPr>
              <w:jc w:val="center"/>
              <w:rPr>
                <w:rFonts w:hint="eastAsia" w:ascii="仿宋" w:hAnsi="仿宋" w:eastAsia="仿宋" w:cs="仿宋"/>
                <w:sz w:val="24"/>
                <w:szCs w:val="24"/>
              </w:rPr>
            </w:pPr>
            <w:r>
              <w:rPr>
                <w:rFonts w:hint="eastAsia" w:ascii="仿宋" w:hAnsi="仿宋" w:eastAsia="仿宋" w:cs="仿宋"/>
                <w:sz w:val="24"/>
                <w:szCs w:val="24"/>
              </w:rPr>
              <w:t>5</w:t>
            </w:r>
          </w:p>
        </w:tc>
        <w:tc>
          <w:tcPr>
            <w:tcW w:w="2447" w:type="dxa"/>
            <w:tcBorders>
              <w:top w:val="single" w:color="auto" w:sz="4" w:space="0"/>
              <w:left w:val="single" w:color="auto" w:sz="4" w:space="0"/>
              <w:bottom w:val="single" w:color="auto" w:sz="4" w:space="0"/>
              <w:right w:val="single" w:color="auto" w:sz="4" w:space="0"/>
            </w:tcBorders>
            <w:noWrap/>
            <w:vAlign w:val="center"/>
          </w:tcPr>
          <w:p w14:paraId="792CF7E0">
            <w:pPr>
              <w:spacing w:line="240" w:lineRule="auto"/>
              <w:jc w:val="center"/>
              <w:rPr>
                <w:rFonts w:hint="eastAsia" w:ascii="仿宋" w:hAnsi="仿宋" w:eastAsia="仿宋" w:cs="仿宋"/>
                <w:sz w:val="24"/>
                <w:szCs w:val="24"/>
              </w:rPr>
            </w:pPr>
            <w:r>
              <w:rPr>
                <w:rFonts w:hint="eastAsia" w:ascii="仿宋" w:hAnsi="仿宋" w:eastAsia="仿宋" w:cs="仿宋"/>
                <w:sz w:val="24"/>
                <w:szCs w:val="24"/>
              </w:rPr>
              <w:t>全自动发筐机</w:t>
            </w:r>
          </w:p>
        </w:tc>
        <w:tc>
          <w:tcPr>
            <w:tcW w:w="1636" w:type="dxa"/>
            <w:tcBorders>
              <w:top w:val="single" w:color="auto" w:sz="4" w:space="0"/>
              <w:left w:val="single" w:color="auto" w:sz="4" w:space="0"/>
              <w:bottom w:val="single" w:color="auto" w:sz="4" w:space="0"/>
              <w:right w:val="single" w:color="auto" w:sz="4" w:space="0"/>
            </w:tcBorders>
            <w:noWrap/>
            <w:vAlign w:val="center"/>
          </w:tcPr>
          <w:p w14:paraId="223D134A">
            <w:pPr>
              <w:spacing w:line="240" w:lineRule="auto"/>
              <w:jc w:val="center"/>
              <w:rPr>
                <w:rFonts w:hint="eastAsia" w:ascii="仿宋" w:hAnsi="仿宋" w:eastAsia="仿宋" w:cs="仿宋"/>
                <w:sz w:val="24"/>
                <w:szCs w:val="24"/>
              </w:rPr>
            </w:pPr>
            <w:r>
              <w:rPr>
                <w:rFonts w:hint="eastAsia" w:ascii="仿宋" w:hAnsi="仿宋" w:eastAsia="仿宋" w:cs="仿宋"/>
                <w:sz w:val="24"/>
                <w:szCs w:val="24"/>
              </w:rPr>
              <w:t>IRON-FK18</w:t>
            </w:r>
          </w:p>
        </w:tc>
        <w:tc>
          <w:tcPr>
            <w:tcW w:w="825" w:type="dxa"/>
            <w:tcBorders>
              <w:top w:val="single" w:color="auto" w:sz="4" w:space="0"/>
              <w:left w:val="single" w:color="auto" w:sz="4" w:space="0"/>
              <w:bottom w:val="single" w:color="auto" w:sz="4" w:space="0"/>
              <w:right w:val="single" w:color="auto" w:sz="4" w:space="0"/>
            </w:tcBorders>
            <w:noWrap/>
            <w:vAlign w:val="center"/>
          </w:tcPr>
          <w:p w14:paraId="06B3DF61">
            <w:pPr>
              <w:jc w:val="center"/>
              <w:rPr>
                <w:rFonts w:hint="eastAsia" w:ascii="仿宋" w:hAnsi="仿宋" w:eastAsia="仿宋" w:cs="仿宋"/>
                <w:sz w:val="24"/>
                <w:szCs w:val="24"/>
              </w:rPr>
            </w:pPr>
            <w:r>
              <w:rPr>
                <w:rFonts w:hint="eastAsia" w:ascii="仿宋" w:hAnsi="仿宋" w:eastAsia="仿宋" w:cs="仿宋"/>
                <w:sz w:val="24"/>
                <w:szCs w:val="24"/>
              </w:rPr>
              <w:t>艾隆</w:t>
            </w:r>
          </w:p>
        </w:tc>
        <w:tc>
          <w:tcPr>
            <w:tcW w:w="825" w:type="dxa"/>
            <w:tcBorders>
              <w:top w:val="single" w:color="auto" w:sz="4" w:space="0"/>
              <w:left w:val="single" w:color="auto" w:sz="4" w:space="0"/>
              <w:bottom w:val="single" w:color="auto" w:sz="4" w:space="0"/>
              <w:right w:val="single" w:color="auto" w:sz="4" w:space="0"/>
            </w:tcBorders>
            <w:noWrap/>
            <w:vAlign w:val="center"/>
          </w:tcPr>
          <w:p w14:paraId="729CABB3">
            <w:pPr>
              <w:jc w:val="center"/>
              <w:rPr>
                <w:rFonts w:hint="eastAsia" w:ascii="仿宋" w:hAnsi="仿宋" w:eastAsia="仿宋" w:cs="仿宋"/>
                <w:sz w:val="24"/>
                <w:szCs w:val="24"/>
              </w:rPr>
            </w:pPr>
            <w:r>
              <w:rPr>
                <w:rFonts w:hint="eastAsia" w:ascii="仿宋" w:hAnsi="仿宋" w:eastAsia="仿宋" w:cs="仿宋"/>
                <w:sz w:val="24"/>
                <w:szCs w:val="24"/>
              </w:rPr>
              <w:t>苏州</w:t>
            </w:r>
          </w:p>
        </w:tc>
        <w:tc>
          <w:tcPr>
            <w:tcW w:w="705" w:type="dxa"/>
            <w:tcBorders>
              <w:top w:val="single" w:color="auto" w:sz="4" w:space="0"/>
              <w:left w:val="single" w:color="auto" w:sz="4" w:space="0"/>
              <w:bottom w:val="single" w:color="auto" w:sz="4" w:space="0"/>
              <w:right w:val="single" w:color="auto" w:sz="4" w:space="0"/>
            </w:tcBorders>
            <w:noWrap/>
            <w:vAlign w:val="center"/>
          </w:tcPr>
          <w:p w14:paraId="132C2709">
            <w:pPr>
              <w:jc w:val="center"/>
              <w:rPr>
                <w:rFonts w:hint="eastAsia" w:ascii="仿宋" w:hAnsi="仿宋" w:eastAsia="仿宋" w:cs="仿宋"/>
                <w:sz w:val="24"/>
                <w:szCs w:val="24"/>
              </w:rPr>
            </w:pPr>
            <w:r>
              <w:rPr>
                <w:rFonts w:hint="eastAsia" w:ascii="仿宋" w:hAnsi="仿宋" w:eastAsia="仿宋" w:cs="仿宋"/>
                <w:sz w:val="24"/>
                <w:szCs w:val="24"/>
              </w:rPr>
              <w:t>套</w:t>
            </w:r>
          </w:p>
        </w:tc>
        <w:tc>
          <w:tcPr>
            <w:tcW w:w="1171" w:type="dxa"/>
            <w:tcBorders>
              <w:top w:val="single" w:color="auto" w:sz="4" w:space="0"/>
              <w:left w:val="single" w:color="auto" w:sz="4" w:space="0"/>
              <w:bottom w:val="single" w:color="auto" w:sz="4" w:space="0"/>
              <w:right w:val="single" w:color="auto" w:sz="4" w:space="0"/>
            </w:tcBorders>
            <w:noWrap/>
            <w:vAlign w:val="center"/>
          </w:tcPr>
          <w:p w14:paraId="74EF873B">
            <w:pPr>
              <w:spacing w:line="24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r>
      <w:tr w14:paraId="765FE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7" w:type="dxa"/>
            <w:tcBorders>
              <w:top w:val="single" w:color="auto" w:sz="4" w:space="0"/>
              <w:left w:val="single" w:color="auto" w:sz="4" w:space="0"/>
              <w:bottom w:val="single" w:color="auto" w:sz="4" w:space="0"/>
              <w:right w:val="single" w:color="auto" w:sz="4" w:space="0"/>
            </w:tcBorders>
            <w:noWrap/>
            <w:vAlign w:val="center"/>
          </w:tcPr>
          <w:p w14:paraId="2B5BBE67">
            <w:pPr>
              <w:jc w:val="center"/>
              <w:rPr>
                <w:rFonts w:hint="eastAsia" w:ascii="仿宋" w:hAnsi="仿宋" w:eastAsia="仿宋" w:cs="仿宋"/>
                <w:sz w:val="24"/>
                <w:szCs w:val="24"/>
              </w:rPr>
            </w:pPr>
            <w:r>
              <w:rPr>
                <w:rFonts w:hint="eastAsia" w:ascii="仿宋" w:hAnsi="仿宋" w:eastAsia="仿宋" w:cs="仿宋"/>
                <w:sz w:val="24"/>
                <w:szCs w:val="24"/>
              </w:rPr>
              <w:t>6</w:t>
            </w:r>
          </w:p>
        </w:tc>
        <w:tc>
          <w:tcPr>
            <w:tcW w:w="2447" w:type="dxa"/>
            <w:tcBorders>
              <w:top w:val="single" w:color="auto" w:sz="4" w:space="0"/>
              <w:left w:val="single" w:color="auto" w:sz="4" w:space="0"/>
              <w:bottom w:val="single" w:color="auto" w:sz="4" w:space="0"/>
              <w:right w:val="single" w:color="auto" w:sz="4" w:space="0"/>
            </w:tcBorders>
            <w:noWrap/>
            <w:vAlign w:val="center"/>
          </w:tcPr>
          <w:p w14:paraId="5550EE90">
            <w:pPr>
              <w:spacing w:line="240" w:lineRule="auto"/>
              <w:jc w:val="center"/>
              <w:rPr>
                <w:rFonts w:hint="eastAsia" w:ascii="仿宋" w:hAnsi="仿宋" w:eastAsia="仿宋" w:cs="仿宋"/>
                <w:sz w:val="24"/>
                <w:szCs w:val="24"/>
              </w:rPr>
            </w:pPr>
            <w:r>
              <w:rPr>
                <w:rFonts w:hint="eastAsia" w:ascii="仿宋" w:hAnsi="仿宋" w:eastAsia="仿宋" w:cs="仿宋"/>
                <w:sz w:val="24"/>
                <w:szCs w:val="24"/>
              </w:rPr>
              <w:t>整处方传输传送</w:t>
            </w:r>
          </w:p>
        </w:tc>
        <w:tc>
          <w:tcPr>
            <w:tcW w:w="1636" w:type="dxa"/>
            <w:tcBorders>
              <w:top w:val="single" w:color="auto" w:sz="4" w:space="0"/>
              <w:left w:val="single" w:color="auto" w:sz="4" w:space="0"/>
              <w:bottom w:val="single" w:color="auto" w:sz="4" w:space="0"/>
              <w:right w:val="single" w:color="auto" w:sz="4" w:space="0"/>
            </w:tcBorders>
            <w:noWrap/>
            <w:vAlign w:val="center"/>
          </w:tcPr>
          <w:p w14:paraId="2AED1664">
            <w:pPr>
              <w:spacing w:line="240" w:lineRule="auto"/>
              <w:jc w:val="center"/>
              <w:rPr>
                <w:rFonts w:hint="eastAsia" w:ascii="仿宋" w:hAnsi="仿宋" w:eastAsia="仿宋" w:cs="仿宋"/>
                <w:sz w:val="24"/>
                <w:szCs w:val="24"/>
              </w:rPr>
            </w:pPr>
            <w:r>
              <w:rPr>
                <w:rFonts w:hint="eastAsia" w:ascii="仿宋" w:hAnsi="仿宋" w:eastAsia="仿宋" w:cs="仿宋"/>
                <w:sz w:val="24"/>
                <w:szCs w:val="24"/>
              </w:rPr>
              <w:t>IRON-ZCF</w:t>
            </w:r>
          </w:p>
        </w:tc>
        <w:tc>
          <w:tcPr>
            <w:tcW w:w="825" w:type="dxa"/>
            <w:tcBorders>
              <w:top w:val="single" w:color="auto" w:sz="4" w:space="0"/>
              <w:left w:val="single" w:color="auto" w:sz="4" w:space="0"/>
              <w:bottom w:val="single" w:color="auto" w:sz="4" w:space="0"/>
              <w:right w:val="single" w:color="auto" w:sz="4" w:space="0"/>
            </w:tcBorders>
            <w:noWrap/>
            <w:vAlign w:val="center"/>
          </w:tcPr>
          <w:p w14:paraId="67D82E1D">
            <w:pPr>
              <w:jc w:val="center"/>
              <w:rPr>
                <w:rFonts w:hint="eastAsia" w:ascii="仿宋" w:hAnsi="仿宋" w:eastAsia="仿宋" w:cs="仿宋"/>
                <w:sz w:val="24"/>
                <w:szCs w:val="24"/>
              </w:rPr>
            </w:pPr>
            <w:r>
              <w:rPr>
                <w:rFonts w:hint="eastAsia" w:ascii="仿宋" w:hAnsi="仿宋" w:eastAsia="仿宋" w:cs="仿宋"/>
                <w:sz w:val="24"/>
                <w:szCs w:val="24"/>
              </w:rPr>
              <w:t>艾隆</w:t>
            </w:r>
          </w:p>
        </w:tc>
        <w:tc>
          <w:tcPr>
            <w:tcW w:w="825" w:type="dxa"/>
            <w:tcBorders>
              <w:top w:val="single" w:color="auto" w:sz="4" w:space="0"/>
              <w:left w:val="single" w:color="auto" w:sz="4" w:space="0"/>
              <w:bottom w:val="single" w:color="auto" w:sz="4" w:space="0"/>
              <w:right w:val="single" w:color="auto" w:sz="4" w:space="0"/>
            </w:tcBorders>
            <w:noWrap/>
            <w:vAlign w:val="center"/>
          </w:tcPr>
          <w:p w14:paraId="7A2BF826">
            <w:pPr>
              <w:jc w:val="center"/>
              <w:rPr>
                <w:rFonts w:hint="eastAsia" w:ascii="仿宋" w:hAnsi="仿宋" w:eastAsia="仿宋" w:cs="仿宋"/>
                <w:sz w:val="24"/>
                <w:szCs w:val="24"/>
              </w:rPr>
            </w:pPr>
            <w:r>
              <w:rPr>
                <w:rFonts w:hint="eastAsia" w:ascii="仿宋" w:hAnsi="仿宋" w:eastAsia="仿宋" w:cs="仿宋"/>
                <w:sz w:val="24"/>
                <w:szCs w:val="24"/>
              </w:rPr>
              <w:t>苏州</w:t>
            </w:r>
          </w:p>
        </w:tc>
        <w:tc>
          <w:tcPr>
            <w:tcW w:w="705" w:type="dxa"/>
            <w:tcBorders>
              <w:top w:val="single" w:color="auto" w:sz="4" w:space="0"/>
              <w:left w:val="single" w:color="auto" w:sz="4" w:space="0"/>
              <w:bottom w:val="single" w:color="auto" w:sz="4" w:space="0"/>
              <w:right w:val="single" w:color="auto" w:sz="4" w:space="0"/>
            </w:tcBorders>
            <w:noWrap/>
            <w:vAlign w:val="center"/>
          </w:tcPr>
          <w:p w14:paraId="47AA6DE3">
            <w:pPr>
              <w:jc w:val="center"/>
              <w:rPr>
                <w:rFonts w:hint="eastAsia" w:ascii="仿宋" w:hAnsi="仿宋" w:eastAsia="仿宋" w:cs="仿宋"/>
                <w:sz w:val="24"/>
                <w:szCs w:val="24"/>
              </w:rPr>
            </w:pPr>
            <w:r>
              <w:rPr>
                <w:rFonts w:hint="eastAsia" w:ascii="仿宋" w:hAnsi="仿宋" w:eastAsia="仿宋" w:cs="仿宋"/>
                <w:sz w:val="24"/>
                <w:szCs w:val="24"/>
              </w:rPr>
              <w:t>台</w:t>
            </w:r>
          </w:p>
        </w:tc>
        <w:tc>
          <w:tcPr>
            <w:tcW w:w="1171" w:type="dxa"/>
            <w:tcBorders>
              <w:top w:val="single" w:color="auto" w:sz="4" w:space="0"/>
              <w:left w:val="single" w:color="auto" w:sz="4" w:space="0"/>
              <w:bottom w:val="single" w:color="auto" w:sz="4" w:space="0"/>
              <w:right w:val="single" w:color="auto" w:sz="4" w:space="0"/>
            </w:tcBorders>
            <w:noWrap/>
            <w:vAlign w:val="center"/>
          </w:tcPr>
          <w:p w14:paraId="064FA5BA">
            <w:pPr>
              <w:spacing w:line="24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r>
      <w:tr w14:paraId="3CB22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7" w:type="dxa"/>
            <w:tcBorders>
              <w:top w:val="single" w:color="auto" w:sz="4" w:space="0"/>
              <w:left w:val="single" w:color="auto" w:sz="4" w:space="0"/>
              <w:bottom w:val="single" w:color="auto" w:sz="4" w:space="0"/>
              <w:right w:val="single" w:color="auto" w:sz="4" w:space="0"/>
            </w:tcBorders>
            <w:noWrap/>
            <w:vAlign w:val="center"/>
          </w:tcPr>
          <w:p w14:paraId="16E098CE">
            <w:pPr>
              <w:jc w:val="center"/>
              <w:rPr>
                <w:rFonts w:hint="eastAsia" w:ascii="仿宋" w:hAnsi="仿宋" w:eastAsia="仿宋" w:cs="仿宋"/>
                <w:sz w:val="24"/>
                <w:szCs w:val="24"/>
              </w:rPr>
            </w:pPr>
            <w:r>
              <w:rPr>
                <w:rFonts w:hint="eastAsia" w:ascii="仿宋" w:hAnsi="仿宋" w:eastAsia="仿宋" w:cs="仿宋"/>
                <w:sz w:val="24"/>
                <w:szCs w:val="24"/>
              </w:rPr>
              <w:t>7</w:t>
            </w:r>
          </w:p>
        </w:tc>
        <w:tc>
          <w:tcPr>
            <w:tcW w:w="2447" w:type="dxa"/>
            <w:tcBorders>
              <w:top w:val="single" w:color="auto" w:sz="4" w:space="0"/>
              <w:left w:val="single" w:color="auto" w:sz="4" w:space="0"/>
              <w:bottom w:val="single" w:color="auto" w:sz="4" w:space="0"/>
              <w:right w:val="single" w:color="auto" w:sz="4" w:space="0"/>
            </w:tcBorders>
            <w:noWrap/>
            <w:vAlign w:val="center"/>
          </w:tcPr>
          <w:p w14:paraId="740947E6">
            <w:pPr>
              <w:spacing w:line="240" w:lineRule="auto"/>
              <w:jc w:val="center"/>
              <w:rPr>
                <w:rFonts w:hint="eastAsia" w:ascii="仿宋" w:hAnsi="仿宋" w:eastAsia="仿宋" w:cs="仿宋"/>
                <w:sz w:val="24"/>
                <w:szCs w:val="24"/>
              </w:rPr>
            </w:pPr>
            <w:r>
              <w:rPr>
                <w:rFonts w:hint="eastAsia" w:ascii="仿宋" w:hAnsi="仿宋" w:eastAsia="仿宋" w:cs="仿宋"/>
                <w:sz w:val="24"/>
                <w:szCs w:val="24"/>
              </w:rPr>
              <w:t>智能前台</w:t>
            </w:r>
            <w:r>
              <w:rPr>
                <w:rFonts w:hint="eastAsia" w:ascii="仿宋" w:hAnsi="仿宋" w:eastAsia="仿宋" w:cs="仿宋"/>
                <w:sz w:val="24"/>
                <w:szCs w:val="24"/>
                <w:lang w:val="en-US" w:eastAsia="zh-CN"/>
              </w:rPr>
              <w:t>发药</w:t>
            </w:r>
            <w:r>
              <w:rPr>
                <w:rFonts w:hint="eastAsia" w:ascii="仿宋" w:hAnsi="仿宋" w:eastAsia="仿宋" w:cs="仿宋"/>
                <w:sz w:val="24"/>
                <w:szCs w:val="24"/>
              </w:rPr>
              <w:t>系统</w:t>
            </w:r>
          </w:p>
        </w:tc>
        <w:tc>
          <w:tcPr>
            <w:tcW w:w="1636" w:type="dxa"/>
            <w:tcBorders>
              <w:top w:val="single" w:color="auto" w:sz="4" w:space="0"/>
              <w:left w:val="single" w:color="auto" w:sz="4" w:space="0"/>
              <w:bottom w:val="single" w:color="auto" w:sz="4" w:space="0"/>
              <w:right w:val="single" w:color="auto" w:sz="4" w:space="0"/>
            </w:tcBorders>
            <w:noWrap/>
            <w:vAlign w:val="center"/>
          </w:tcPr>
          <w:p w14:paraId="303F4C5A">
            <w:pPr>
              <w:spacing w:line="240" w:lineRule="auto"/>
              <w:jc w:val="center"/>
              <w:rPr>
                <w:rFonts w:hint="eastAsia" w:ascii="仿宋" w:hAnsi="仿宋" w:eastAsia="仿宋" w:cs="仿宋"/>
                <w:sz w:val="24"/>
                <w:szCs w:val="24"/>
              </w:rPr>
            </w:pPr>
            <w:r>
              <w:rPr>
                <w:rFonts w:hint="eastAsia" w:ascii="仿宋" w:hAnsi="仿宋" w:eastAsia="仿宋" w:cs="仿宋"/>
                <w:sz w:val="24"/>
                <w:szCs w:val="24"/>
              </w:rPr>
              <w:t>IRON-D</w:t>
            </w:r>
          </w:p>
        </w:tc>
        <w:tc>
          <w:tcPr>
            <w:tcW w:w="825" w:type="dxa"/>
            <w:tcBorders>
              <w:top w:val="single" w:color="auto" w:sz="4" w:space="0"/>
              <w:left w:val="single" w:color="auto" w:sz="4" w:space="0"/>
              <w:bottom w:val="single" w:color="auto" w:sz="4" w:space="0"/>
              <w:right w:val="single" w:color="auto" w:sz="4" w:space="0"/>
            </w:tcBorders>
            <w:noWrap/>
            <w:vAlign w:val="center"/>
          </w:tcPr>
          <w:p w14:paraId="3CB270E1">
            <w:pPr>
              <w:jc w:val="center"/>
              <w:rPr>
                <w:rFonts w:hint="eastAsia" w:ascii="仿宋" w:hAnsi="仿宋" w:eastAsia="仿宋" w:cs="仿宋"/>
                <w:sz w:val="24"/>
                <w:szCs w:val="24"/>
              </w:rPr>
            </w:pPr>
            <w:r>
              <w:rPr>
                <w:rFonts w:hint="eastAsia" w:ascii="仿宋" w:hAnsi="仿宋" w:eastAsia="仿宋" w:cs="仿宋"/>
                <w:sz w:val="24"/>
                <w:szCs w:val="24"/>
              </w:rPr>
              <w:t>艾隆</w:t>
            </w:r>
          </w:p>
        </w:tc>
        <w:tc>
          <w:tcPr>
            <w:tcW w:w="825" w:type="dxa"/>
            <w:tcBorders>
              <w:top w:val="single" w:color="auto" w:sz="4" w:space="0"/>
              <w:left w:val="single" w:color="auto" w:sz="4" w:space="0"/>
              <w:bottom w:val="single" w:color="auto" w:sz="4" w:space="0"/>
              <w:right w:val="single" w:color="auto" w:sz="4" w:space="0"/>
            </w:tcBorders>
            <w:noWrap/>
            <w:vAlign w:val="center"/>
          </w:tcPr>
          <w:p w14:paraId="22D61239">
            <w:pPr>
              <w:jc w:val="center"/>
              <w:rPr>
                <w:rFonts w:hint="eastAsia" w:ascii="仿宋" w:hAnsi="仿宋" w:eastAsia="仿宋" w:cs="仿宋"/>
                <w:sz w:val="24"/>
                <w:szCs w:val="24"/>
              </w:rPr>
            </w:pPr>
            <w:r>
              <w:rPr>
                <w:rFonts w:hint="eastAsia" w:ascii="仿宋" w:hAnsi="仿宋" w:eastAsia="仿宋" w:cs="仿宋"/>
                <w:sz w:val="24"/>
                <w:szCs w:val="24"/>
              </w:rPr>
              <w:t>苏州</w:t>
            </w:r>
          </w:p>
        </w:tc>
        <w:tc>
          <w:tcPr>
            <w:tcW w:w="705" w:type="dxa"/>
            <w:tcBorders>
              <w:top w:val="single" w:color="auto" w:sz="4" w:space="0"/>
              <w:left w:val="single" w:color="auto" w:sz="4" w:space="0"/>
              <w:bottom w:val="single" w:color="auto" w:sz="4" w:space="0"/>
              <w:right w:val="single" w:color="auto" w:sz="4" w:space="0"/>
            </w:tcBorders>
            <w:noWrap/>
            <w:vAlign w:val="center"/>
          </w:tcPr>
          <w:p w14:paraId="6D21CA5B">
            <w:pPr>
              <w:jc w:val="center"/>
              <w:rPr>
                <w:rFonts w:hint="eastAsia" w:ascii="仿宋" w:hAnsi="仿宋" w:eastAsia="仿宋" w:cs="仿宋"/>
                <w:sz w:val="24"/>
                <w:szCs w:val="24"/>
              </w:rPr>
            </w:pPr>
            <w:r>
              <w:rPr>
                <w:rFonts w:hint="eastAsia" w:ascii="仿宋" w:hAnsi="仿宋" w:eastAsia="仿宋" w:cs="仿宋"/>
                <w:sz w:val="24"/>
                <w:szCs w:val="24"/>
              </w:rPr>
              <w:t>台</w:t>
            </w:r>
          </w:p>
        </w:tc>
        <w:tc>
          <w:tcPr>
            <w:tcW w:w="1171" w:type="dxa"/>
            <w:tcBorders>
              <w:top w:val="single" w:color="auto" w:sz="4" w:space="0"/>
              <w:left w:val="single" w:color="auto" w:sz="4" w:space="0"/>
              <w:bottom w:val="single" w:color="auto" w:sz="4" w:space="0"/>
              <w:right w:val="single" w:color="auto" w:sz="4" w:space="0"/>
            </w:tcBorders>
            <w:noWrap/>
            <w:vAlign w:val="center"/>
          </w:tcPr>
          <w:p w14:paraId="536C2184">
            <w:pPr>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r>
      <w:tr w14:paraId="30240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7" w:type="dxa"/>
            <w:tcBorders>
              <w:top w:val="single" w:color="auto" w:sz="4" w:space="0"/>
              <w:left w:val="single" w:color="auto" w:sz="4" w:space="0"/>
              <w:bottom w:val="single" w:color="auto" w:sz="4" w:space="0"/>
              <w:right w:val="single" w:color="auto" w:sz="4" w:space="0"/>
            </w:tcBorders>
            <w:noWrap/>
            <w:vAlign w:val="center"/>
          </w:tcPr>
          <w:p w14:paraId="03243AB4">
            <w:pPr>
              <w:jc w:val="center"/>
              <w:rPr>
                <w:rFonts w:hint="eastAsia" w:ascii="仿宋" w:hAnsi="仿宋" w:eastAsia="仿宋" w:cs="仿宋"/>
                <w:sz w:val="24"/>
                <w:szCs w:val="24"/>
              </w:rPr>
            </w:pPr>
            <w:r>
              <w:rPr>
                <w:rFonts w:hint="eastAsia" w:ascii="仿宋" w:hAnsi="仿宋" w:eastAsia="仿宋" w:cs="仿宋"/>
                <w:sz w:val="24"/>
                <w:szCs w:val="24"/>
              </w:rPr>
              <w:t>8</w:t>
            </w:r>
          </w:p>
        </w:tc>
        <w:tc>
          <w:tcPr>
            <w:tcW w:w="2447" w:type="dxa"/>
            <w:tcBorders>
              <w:top w:val="single" w:color="auto" w:sz="4" w:space="0"/>
              <w:left w:val="single" w:color="auto" w:sz="4" w:space="0"/>
              <w:bottom w:val="single" w:color="auto" w:sz="4" w:space="0"/>
              <w:right w:val="single" w:color="auto" w:sz="4" w:space="0"/>
            </w:tcBorders>
            <w:noWrap/>
            <w:vAlign w:val="center"/>
          </w:tcPr>
          <w:p w14:paraId="14221FD8">
            <w:pPr>
              <w:spacing w:line="240" w:lineRule="auto"/>
              <w:jc w:val="center"/>
              <w:rPr>
                <w:rFonts w:hint="eastAsia" w:ascii="仿宋" w:hAnsi="仿宋" w:eastAsia="仿宋" w:cs="仿宋"/>
                <w:sz w:val="24"/>
                <w:szCs w:val="24"/>
              </w:rPr>
            </w:pPr>
            <w:r>
              <w:rPr>
                <w:rFonts w:hint="eastAsia" w:ascii="仿宋" w:hAnsi="仿宋" w:eastAsia="仿宋" w:cs="仿宋"/>
                <w:sz w:val="24"/>
                <w:szCs w:val="24"/>
              </w:rPr>
              <w:t>地轨传输系统</w:t>
            </w:r>
          </w:p>
        </w:tc>
        <w:tc>
          <w:tcPr>
            <w:tcW w:w="1636" w:type="dxa"/>
            <w:tcBorders>
              <w:top w:val="single" w:color="auto" w:sz="4" w:space="0"/>
              <w:left w:val="single" w:color="auto" w:sz="4" w:space="0"/>
              <w:bottom w:val="single" w:color="auto" w:sz="4" w:space="0"/>
              <w:right w:val="single" w:color="auto" w:sz="4" w:space="0"/>
            </w:tcBorders>
            <w:noWrap/>
            <w:vAlign w:val="center"/>
          </w:tcPr>
          <w:p w14:paraId="27BD4335">
            <w:pPr>
              <w:spacing w:line="240" w:lineRule="auto"/>
              <w:jc w:val="center"/>
              <w:rPr>
                <w:rFonts w:hint="eastAsia" w:ascii="仿宋" w:hAnsi="仿宋" w:eastAsia="仿宋" w:cs="仿宋"/>
                <w:sz w:val="24"/>
                <w:szCs w:val="24"/>
              </w:rPr>
            </w:pPr>
            <w:r>
              <w:rPr>
                <w:rFonts w:hint="eastAsia" w:ascii="仿宋" w:hAnsi="仿宋" w:eastAsia="仿宋" w:cs="仿宋"/>
                <w:sz w:val="24"/>
                <w:szCs w:val="24"/>
              </w:rPr>
              <w:t>IRON-ZFD</w:t>
            </w:r>
          </w:p>
        </w:tc>
        <w:tc>
          <w:tcPr>
            <w:tcW w:w="825" w:type="dxa"/>
            <w:tcBorders>
              <w:top w:val="single" w:color="auto" w:sz="4" w:space="0"/>
              <w:left w:val="single" w:color="auto" w:sz="4" w:space="0"/>
              <w:bottom w:val="single" w:color="auto" w:sz="4" w:space="0"/>
              <w:right w:val="single" w:color="auto" w:sz="4" w:space="0"/>
            </w:tcBorders>
            <w:noWrap/>
            <w:vAlign w:val="center"/>
          </w:tcPr>
          <w:p w14:paraId="6E5D6401">
            <w:pPr>
              <w:jc w:val="center"/>
              <w:rPr>
                <w:rFonts w:hint="eastAsia" w:ascii="仿宋" w:hAnsi="仿宋" w:eastAsia="仿宋" w:cs="仿宋"/>
                <w:sz w:val="24"/>
                <w:szCs w:val="24"/>
              </w:rPr>
            </w:pPr>
            <w:r>
              <w:rPr>
                <w:rFonts w:hint="eastAsia" w:ascii="仿宋" w:hAnsi="仿宋" w:eastAsia="仿宋" w:cs="仿宋"/>
                <w:sz w:val="24"/>
                <w:szCs w:val="24"/>
              </w:rPr>
              <w:t>艾隆</w:t>
            </w:r>
          </w:p>
        </w:tc>
        <w:tc>
          <w:tcPr>
            <w:tcW w:w="825" w:type="dxa"/>
            <w:tcBorders>
              <w:top w:val="single" w:color="auto" w:sz="4" w:space="0"/>
              <w:left w:val="single" w:color="auto" w:sz="4" w:space="0"/>
              <w:bottom w:val="single" w:color="auto" w:sz="4" w:space="0"/>
              <w:right w:val="single" w:color="auto" w:sz="4" w:space="0"/>
            </w:tcBorders>
            <w:noWrap/>
            <w:vAlign w:val="center"/>
          </w:tcPr>
          <w:p w14:paraId="698027A8">
            <w:pPr>
              <w:jc w:val="center"/>
              <w:rPr>
                <w:rFonts w:hint="eastAsia" w:ascii="仿宋" w:hAnsi="仿宋" w:eastAsia="仿宋" w:cs="仿宋"/>
                <w:sz w:val="24"/>
                <w:szCs w:val="24"/>
              </w:rPr>
            </w:pPr>
            <w:r>
              <w:rPr>
                <w:rFonts w:hint="eastAsia" w:ascii="仿宋" w:hAnsi="仿宋" w:eastAsia="仿宋" w:cs="仿宋"/>
                <w:sz w:val="24"/>
                <w:szCs w:val="24"/>
              </w:rPr>
              <w:t>苏州</w:t>
            </w:r>
          </w:p>
        </w:tc>
        <w:tc>
          <w:tcPr>
            <w:tcW w:w="705" w:type="dxa"/>
            <w:tcBorders>
              <w:top w:val="single" w:color="auto" w:sz="4" w:space="0"/>
              <w:left w:val="single" w:color="auto" w:sz="4" w:space="0"/>
              <w:bottom w:val="single" w:color="auto" w:sz="4" w:space="0"/>
              <w:right w:val="single" w:color="auto" w:sz="4" w:space="0"/>
            </w:tcBorders>
            <w:noWrap/>
            <w:vAlign w:val="center"/>
          </w:tcPr>
          <w:p w14:paraId="1C3BEDA7">
            <w:pPr>
              <w:jc w:val="center"/>
              <w:rPr>
                <w:rFonts w:hint="eastAsia" w:ascii="仿宋" w:hAnsi="仿宋" w:eastAsia="仿宋" w:cs="仿宋"/>
                <w:sz w:val="24"/>
                <w:szCs w:val="24"/>
              </w:rPr>
            </w:pPr>
            <w:r>
              <w:rPr>
                <w:rFonts w:hint="eastAsia" w:ascii="仿宋" w:hAnsi="仿宋" w:eastAsia="仿宋" w:cs="仿宋"/>
                <w:sz w:val="24"/>
                <w:szCs w:val="24"/>
              </w:rPr>
              <w:t>台</w:t>
            </w:r>
          </w:p>
        </w:tc>
        <w:tc>
          <w:tcPr>
            <w:tcW w:w="1171" w:type="dxa"/>
            <w:tcBorders>
              <w:top w:val="single" w:color="auto" w:sz="4" w:space="0"/>
              <w:left w:val="single" w:color="auto" w:sz="4" w:space="0"/>
              <w:bottom w:val="single" w:color="auto" w:sz="4" w:space="0"/>
              <w:right w:val="single" w:color="auto" w:sz="4" w:space="0"/>
            </w:tcBorders>
            <w:noWrap/>
            <w:vAlign w:val="center"/>
          </w:tcPr>
          <w:p w14:paraId="1575D9C5">
            <w:pPr>
              <w:spacing w:line="24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r>
      <w:tr w14:paraId="54979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7" w:type="dxa"/>
            <w:tcBorders>
              <w:top w:val="single" w:color="auto" w:sz="4" w:space="0"/>
              <w:left w:val="single" w:color="auto" w:sz="4" w:space="0"/>
              <w:bottom w:val="single" w:color="auto" w:sz="4" w:space="0"/>
              <w:right w:val="single" w:color="auto" w:sz="4" w:space="0"/>
            </w:tcBorders>
            <w:noWrap/>
            <w:vAlign w:val="center"/>
          </w:tcPr>
          <w:p w14:paraId="24DADE4D">
            <w:pPr>
              <w:jc w:val="center"/>
              <w:rPr>
                <w:rFonts w:hint="eastAsia" w:ascii="仿宋" w:hAnsi="仿宋" w:eastAsia="仿宋" w:cs="仿宋"/>
                <w:sz w:val="24"/>
                <w:szCs w:val="24"/>
              </w:rPr>
            </w:pPr>
            <w:r>
              <w:rPr>
                <w:rFonts w:hint="eastAsia" w:ascii="仿宋" w:hAnsi="仿宋" w:eastAsia="仿宋" w:cs="仿宋"/>
                <w:sz w:val="24"/>
                <w:szCs w:val="24"/>
              </w:rPr>
              <w:t>9</w:t>
            </w:r>
          </w:p>
        </w:tc>
        <w:tc>
          <w:tcPr>
            <w:tcW w:w="2447" w:type="dxa"/>
            <w:tcBorders>
              <w:top w:val="single" w:color="auto" w:sz="4" w:space="0"/>
              <w:left w:val="single" w:color="auto" w:sz="4" w:space="0"/>
              <w:bottom w:val="single" w:color="auto" w:sz="4" w:space="0"/>
              <w:right w:val="single" w:color="auto" w:sz="4" w:space="0"/>
            </w:tcBorders>
            <w:noWrap/>
            <w:vAlign w:val="center"/>
          </w:tcPr>
          <w:p w14:paraId="7FD2CAD1">
            <w:pPr>
              <w:spacing w:line="24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麻精药品管理机</w:t>
            </w:r>
          </w:p>
        </w:tc>
        <w:tc>
          <w:tcPr>
            <w:tcW w:w="1636" w:type="dxa"/>
            <w:tcBorders>
              <w:top w:val="single" w:color="auto" w:sz="4" w:space="0"/>
              <w:left w:val="single" w:color="auto" w:sz="4" w:space="0"/>
              <w:bottom w:val="single" w:color="auto" w:sz="4" w:space="0"/>
              <w:right w:val="single" w:color="auto" w:sz="4" w:space="0"/>
            </w:tcBorders>
            <w:noWrap/>
            <w:vAlign w:val="center"/>
          </w:tcPr>
          <w:p w14:paraId="41210304">
            <w:pPr>
              <w:spacing w:line="240" w:lineRule="auto"/>
              <w:jc w:val="center"/>
              <w:rPr>
                <w:rFonts w:hint="eastAsia" w:ascii="仿宋" w:hAnsi="仿宋" w:eastAsia="仿宋" w:cs="仿宋"/>
                <w:sz w:val="24"/>
                <w:szCs w:val="24"/>
              </w:rPr>
            </w:pPr>
            <w:r>
              <w:rPr>
                <w:rFonts w:hint="eastAsia" w:ascii="仿宋" w:hAnsi="仿宋" w:eastAsia="仿宋" w:cs="仿宋"/>
                <w:sz w:val="24"/>
                <w:szCs w:val="24"/>
              </w:rPr>
              <w:t>IRON-</w:t>
            </w:r>
            <w:r>
              <w:rPr>
                <w:rFonts w:hint="eastAsia" w:ascii="仿宋" w:hAnsi="仿宋" w:eastAsia="仿宋" w:cs="仿宋"/>
                <w:sz w:val="24"/>
                <w:szCs w:val="24"/>
                <w:lang w:val="en-US" w:eastAsia="zh-CN"/>
              </w:rPr>
              <w:t>MJ09</w:t>
            </w:r>
          </w:p>
        </w:tc>
        <w:tc>
          <w:tcPr>
            <w:tcW w:w="825" w:type="dxa"/>
            <w:tcBorders>
              <w:top w:val="single" w:color="auto" w:sz="4" w:space="0"/>
              <w:left w:val="single" w:color="auto" w:sz="4" w:space="0"/>
              <w:bottom w:val="single" w:color="auto" w:sz="4" w:space="0"/>
              <w:right w:val="single" w:color="auto" w:sz="4" w:space="0"/>
            </w:tcBorders>
            <w:noWrap/>
            <w:vAlign w:val="center"/>
          </w:tcPr>
          <w:p w14:paraId="68946C9D">
            <w:pPr>
              <w:jc w:val="center"/>
              <w:rPr>
                <w:rFonts w:hint="eastAsia" w:ascii="仿宋" w:hAnsi="仿宋" w:eastAsia="仿宋" w:cs="仿宋"/>
                <w:sz w:val="24"/>
                <w:szCs w:val="24"/>
              </w:rPr>
            </w:pPr>
            <w:r>
              <w:rPr>
                <w:rFonts w:hint="eastAsia" w:ascii="仿宋" w:hAnsi="仿宋" w:eastAsia="仿宋" w:cs="仿宋"/>
                <w:sz w:val="24"/>
                <w:szCs w:val="24"/>
              </w:rPr>
              <w:t>艾隆</w:t>
            </w:r>
          </w:p>
        </w:tc>
        <w:tc>
          <w:tcPr>
            <w:tcW w:w="825" w:type="dxa"/>
            <w:tcBorders>
              <w:top w:val="single" w:color="auto" w:sz="4" w:space="0"/>
              <w:left w:val="single" w:color="auto" w:sz="4" w:space="0"/>
              <w:bottom w:val="single" w:color="auto" w:sz="4" w:space="0"/>
              <w:right w:val="single" w:color="auto" w:sz="4" w:space="0"/>
            </w:tcBorders>
            <w:noWrap/>
            <w:vAlign w:val="center"/>
          </w:tcPr>
          <w:p w14:paraId="1DDFB1CB">
            <w:pPr>
              <w:jc w:val="center"/>
              <w:rPr>
                <w:rFonts w:hint="eastAsia" w:ascii="仿宋" w:hAnsi="仿宋" w:eastAsia="仿宋" w:cs="仿宋"/>
                <w:sz w:val="24"/>
                <w:szCs w:val="24"/>
              </w:rPr>
            </w:pPr>
            <w:r>
              <w:rPr>
                <w:rFonts w:hint="eastAsia" w:ascii="仿宋" w:hAnsi="仿宋" w:eastAsia="仿宋" w:cs="仿宋"/>
                <w:sz w:val="24"/>
                <w:szCs w:val="24"/>
              </w:rPr>
              <w:t>苏州</w:t>
            </w:r>
          </w:p>
        </w:tc>
        <w:tc>
          <w:tcPr>
            <w:tcW w:w="705" w:type="dxa"/>
            <w:tcBorders>
              <w:top w:val="single" w:color="auto" w:sz="4" w:space="0"/>
              <w:left w:val="single" w:color="auto" w:sz="4" w:space="0"/>
              <w:bottom w:val="single" w:color="auto" w:sz="4" w:space="0"/>
              <w:right w:val="single" w:color="auto" w:sz="4" w:space="0"/>
            </w:tcBorders>
            <w:noWrap/>
            <w:vAlign w:val="center"/>
          </w:tcPr>
          <w:p w14:paraId="79230941">
            <w:pPr>
              <w:jc w:val="center"/>
              <w:rPr>
                <w:rFonts w:hint="eastAsia" w:ascii="仿宋" w:hAnsi="仿宋" w:eastAsia="仿宋" w:cs="仿宋"/>
                <w:sz w:val="24"/>
                <w:szCs w:val="24"/>
              </w:rPr>
            </w:pPr>
            <w:r>
              <w:rPr>
                <w:rFonts w:hint="eastAsia" w:ascii="仿宋" w:hAnsi="仿宋" w:eastAsia="仿宋" w:cs="仿宋"/>
                <w:sz w:val="24"/>
                <w:szCs w:val="24"/>
              </w:rPr>
              <w:t>台</w:t>
            </w:r>
          </w:p>
        </w:tc>
        <w:tc>
          <w:tcPr>
            <w:tcW w:w="1171" w:type="dxa"/>
            <w:tcBorders>
              <w:top w:val="single" w:color="auto" w:sz="4" w:space="0"/>
              <w:left w:val="single" w:color="auto" w:sz="4" w:space="0"/>
              <w:bottom w:val="single" w:color="auto" w:sz="4" w:space="0"/>
              <w:right w:val="single" w:color="auto" w:sz="4" w:space="0"/>
            </w:tcBorders>
            <w:noWrap/>
            <w:vAlign w:val="center"/>
          </w:tcPr>
          <w:p w14:paraId="086EB051">
            <w:pPr>
              <w:spacing w:line="24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r>
      <w:tr w14:paraId="70EE2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7" w:type="dxa"/>
            <w:tcBorders>
              <w:top w:val="single" w:color="auto" w:sz="4" w:space="0"/>
              <w:left w:val="single" w:color="auto" w:sz="4" w:space="0"/>
              <w:bottom w:val="single" w:color="auto" w:sz="4" w:space="0"/>
              <w:right w:val="single" w:color="auto" w:sz="4" w:space="0"/>
            </w:tcBorders>
            <w:noWrap/>
            <w:vAlign w:val="center"/>
          </w:tcPr>
          <w:p w14:paraId="67AC97C9">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2447" w:type="dxa"/>
            <w:tcBorders>
              <w:top w:val="single" w:color="auto" w:sz="4" w:space="0"/>
              <w:left w:val="single" w:color="auto" w:sz="4" w:space="0"/>
              <w:bottom w:val="single" w:color="auto" w:sz="4" w:space="0"/>
              <w:right w:val="single" w:color="auto" w:sz="4" w:space="0"/>
            </w:tcBorders>
            <w:noWrap/>
            <w:vAlign w:val="center"/>
          </w:tcPr>
          <w:p w14:paraId="25EF8987">
            <w:pPr>
              <w:spacing w:line="24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排队叫号系统</w:t>
            </w:r>
          </w:p>
        </w:tc>
        <w:tc>
          <w:tcPr>
            <w:tcW w:w="1636" w:type="dxa"/>
            <w:tcBorders>
              <w:top w:val="single" w:color="auto" w:sz="4" w:space="0"/>
              <w:left w:val="single" w:color="auto" w:sz="4" w:space="0"/>
              <w:bottom w:val="single" w:color="auto" w:sz="4" w:space="0"/>
              <w:right w:val="single" w:color="auto" w:sz="4" w:space="0"/>
            </w:tcBorders>
            <w:noWrap/>
            <w:vAlign w:val="center"/>
          </w:tcPr>
          <w:p w14:paraId="4CB9BE06">
            <w:pPr>
              <w:spacing w:line="24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AutoQueueV1.0</w:t>
            </w:r>
          </w:p>
        </w:tc>
        <w:tc>
          <w:tcPr>
            <w:tcW w:w="825" w:type="dxa"/>
            <w:tcBorders>
              <w:top w:val="single" w:color="auto" w:sz="4" w:space="0"/>
              <w:left w:val="single" w:color="auto" w:sz="4" w:space="0"/>
              <w:bottom w:val="single" w:color="auto" w:sz="4" w:space="0"/>
              <w:right w:val="single" w:color="auto" w:sz="4" w:space="0"/>
            </w:tcBorders>
            <w:noWrap/>
            <w:vAlign w:val="center"/>
          </w:tcPr>
          <w:p w14:paraId="41CA0137">
            <w:pPr>
              <w:jc w:val="center"/>
              <w:rPr>
                <w:rFonts w:hint="eastAsia" w:ascii="仿宋" w:hAnsi="仿宋" w:eastAsia="仿宋" w:cs="仿宋"/>
                <w:sz w:val="24"/>
                <w:szCs w:val="24"/>
              </w:rPr>
            </w:pPr>
            <w:r>
              <w:rPr>
                <w:rFonts w:hint="eastAsia" w:ascii="仿宋" w:hAnsi="仿宋" w:eastAsia="仿宋" w:cs="仿宋"/>
                <w:sz w:val="24"/>
                <w:szCs w:val="24"/>
              </w:rPr>
              <w:t>艾隆</w:t>
            </w:r>
          </w:p>
        </w:tc>
        <w:tc>
          <w:tcPr>
            <w:tcW w:w="825" w:type="dxa"/>
            <w:tcBorders>
              <w:top w:val="single" w:color="auto" w:sz="4" w:space="0"/>
              <w:left w:val="single" w:color="auto" w:sz="4" w:space="0"/>
              <w:bottom w:val="single" w:color="auto" w:sz="4" w:space="0"/>
              <w:right w:val="single" w:color="auto" w:sz="4" w:space="0"/>
            </w:tcBorders>
            <w:noWrap/>
            <w:vAlign w:val="center"/>
          </w:tcPr>
          <w:p w14:paraId="2648E88A">
            <w:pPr>
              <w:jc w:val="center"/>
              <w:rPr>
                <w:rFonts w:hint="eastAsia" w:ascii="仿宋" w:hAnsi="仿宋" w:eastAsia="仿宋" w:cs="仿宋"/>
                <w:sz w:val="24"/>
                <w:szCs w:val="24"/>
              </w:rPr>
            </w:pPr>
            <w:r>
              <w:rPr>
                <w:rFonts w:hint="eastAsia" w:ascii="仿宋" w:hAnsi="仿宋" w:eastAsia="仿宋" w:cs="仿宋"/>
                <w:sz w:val="24"/>
                <w:szCs w:val="24"/>
              </w:rPr>
              <w:t>苏州</w:t>
            </w:r>
          </w:p>
        </w:tc>
        <w:tc>
          <w:tcPr>
            <w:tcW w:w="705" w:type="dxa"/>
            <w:tcBorders>
              <w:top w:val="single" w:color="auto" w:sz="4" w:space="0"/>
              <w:left w:val="single" w:color="auto" w:sz="4" w:space="0"/>
              <w:bottom w:val="single" w:color="auto" w:sz="4" w:space="0"/>
              <w:right w:val="single" w:color="auto" w:sz="4" w:space="0"/>
            </w:tcBorders>
            <w:noWrap/>
            <w:vAlign w:val="center"/>
          </w:tcPr>
          <w:p w14:paraId="7C5EF9B7">
            <w:pPr>
              <w:jc w:val="center"/>
              <w:rPr>
                <w:rFonts w:hint="eastAsia" w:ascii="仿宋" w:hAnsi="仿宋" w:eastAsia="仿宋" w:cs="仿宋"/>
                <w:sz w:val="24"/>
                <w:szCs w:val="24"/>
              </w:rPr>
            </w:pPr>
            <w:r>
              <w:rPr>
                <w:rFonts w:hint="eastAsia" w:ascii="仿宋" w:hAnsi="仿宋" w:eastAsia="仿宋" w:cs="仿宋"/>
                <w:sz w:val="24"/>
                <w:szCs w:val="24"/>
              </w:rPr>
              <w:t>台</w:t>
            </w:r>
          </w:p>
        </w:tc>
        <w:tc>
          <w:tcPr>
            <w:tcW w:w="1171" w:type="dxa"/>
            <w:tcBorders>
              <w:top w:val="single" w:color="auto" w:sz="4" w:space="0"/>
              <w:left w:val="single" w:color="auto" w:sz="4" w:space="0"/>
              <w:bottom w:val="single" w:color="auto" w:sz="4" w:space="0"/>
              <w:right w:val="single" w:color="auto" w:sz="4" w:space="0"/>
            </w:tcBorders>
            <w:noWrap/>
            <w:vAlign w:val="center"/>
          </w:tcPr>
          <w:p w14:paraId="5089358A">
            <w:pPr>
              <w:spacing w:line="24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2</w:t>
            </w:r>
          </w:p>
        </w:tc>
      </w:tr>
      <w:tr w14:paraId="0DD32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7" w:type="dxa"/>
            <w:tcBorders>
              <w:top w:val="single" w:color="auto" w:sz="4" w:space="0"/>
              <w:left w:val="single" w:color="auto" w:sz="4" w:space="0"/>
              <w:bottom w:val="single" w:color="auto" w:sz="4" w:space="0"/>
              <w:right w:val="single" w:color="auto" w:sz="4" w:space="0"/>
            </w:tcBorders>
            <w:noWrap/>
            <w:vAlign w:val="center"/>
          </w:tcPr>
          <w:p w14:paraId="00885AF8">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2447" w:type="dxa"/>
            <w:tcBorders>
              <w:top w:val="single" w:color="auto" w:sz="4" w:space="0"/>
              <w:left w:val="single" w:color="auto" w:sz="4" w:space="0"/>
              <w:bottom w:val="single" w:color="auto" w:sz="4" w:space="0"/>
              <w:right w:val="single" w:color="auto" w:sz="4" w:space="0"/>
            </w:tcBorders>
            <w:noWrap/>
            <w:vAlign w:val="center"/>
          </w:tcPr>
          <w:p w14:paraId="5A487666">
            <w:pPr>
              <w:spacing w:line="24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结构化医嘱打印系统</w:t>
            </w:r>
          </w:p>
        </w:tc>
        <w:tc>
          <w:tcPr>
            <w:tcW w:w="1636" w:type="dxa"/>
            <w:tcBorders>
              <w:top w:val="single" w:color="auto" w:sz="4" w:space="0"/>
              <w:left w:val="single" w:color="auto" w:sz="4" w:space="0"/>
              <w:bottom w:val="single" w:color="auto" w:sz="4" w:space="0"/>
              <w:right w:val="single" w:color="auto" w:sz="4" w:space="0"/>
            </w:tcBorders>
            <w:noWrap/>
            <w:vAlign w:val="center"/>
          </w:tcPr>
          <w:p w14:paraId="60E6F09D">
            <w:pPr>
              <w:spacing w:line="24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SmartPrint V1.0</w:t>
            </w:r>
          </w:p>
        </w:tc>
        <w:tc>
          <w:tcPr>
            <w:tcW w:w="825" w:type="dxa"/>
            <w:tcBorders>
              <w:top w:val="single" w:color="auto" w:sz="4" w:space="0"/>
              <w:left w:val="single" w:color="auto" w:sz="4" w:space="0"/>
              <w:bottom w:val="single" w:color="auto" w:sz="4" w:space="0"/>
              <w:right w:val="single" w:color="auto" w:sz="4" w:space="0"/>
            </w:tcBorders>
            <w:noWrap/>
            <w:vAlign w:val="center"/>
          </w:tcPr>
          <w:p w14:paraId="41E4AB3B">
            <w:pPr>
              <w:jc w:val="center"/>
              <w:rPr>
                <w:rFonts w:hint="eastAsia" w:ascii="仿宋" w:hAnsi="仿宋" w:eastAsia="仿宋" w:cs="仿宋"/>
                <w:sz w:val="24"/>
                <w:szCs w:val="24"/>
              </w:rPr>
            </w:pPr>
            <w:r>
              <w:rPr>
                <w:rFonts w:hint="eastAsia" w:ascii="仿宋" w:hAnsi="仿宋" w:eastAsia="仿宋" w:cs="仿宋"/>
                <w:sz w:val="24"/>
                <w:szCs w:val="24"/>
              </w:rPr>
              <w:t>艾隆</w:t>
            </w:r>
          </w:p>
        </w:tc>
        <w:tc>
          <w:tcPr>
            <w:tcW w:w="825" w:type="dxa"/>
            <w:tcBorders>
              <w:top w:val="single" w:color="auto" w:sz="4" w:space="0"/>
              <w:left w:val="single" w:color="auto" w:sz="4" w:space="0"/>
              <w:bottom w:val="single" w:color="auto" w:sz="4" w:space="0"/>
              <w:right w:val="single" w:color="auto" w:sz="4" w:space="0"/>
            </w:tcBorders>
            <w:noWrap/>
            <w:vAlign w:val="center"/>
          </w:tcPr>
          <w:p w14:paraId="14CC12BB">
            <w:pPr>
              <w:jc w:val="center"/>
              <w:rPr>
                <w:rFonts w:hint="eastAsia" w:ascii="仿宋" w:hAnsi="仿宋" w:eastAsia="仿宋" w:cs="仿宋"/>
                <w:sz w:val="24"/>
                <w:szCs w:val="24"/>
              </w:rPr>
            </w:pPr>
            <w:r>
              <w:rPr>
                <w:rFonts w:hint="eastAsia" w:ascii="仿宋" w:hAnsi="仿宋" w:eastAsia="仿宋" w:cs="仿宋"/>
                <w:sz w:val="24"/>
                <w:szCs w:val="24"/>
              </w:rPr>
              <w:t>苏州</w:t>
            </w:r>
          </w:p>
        </w:tc>
        <w:tc>
          <w:tcPr>
            <w:tcW w:w="705" w:type="dxa"/>
            <w:tcBorders>
              <w:top w:val="single" w:color="auto" w:sz="4" w:space="0"/>
              <w:left w:val="single" w:color="auto" w:sz="4" w:space="0"/>
              <w:bottom w:val="single" w:color="auto" w:sz="4" w:space="0"/>
              <w:right w:val="single" w:color="auto" w:sz="4" w:space="0"/>
            </w:tcBorders>
            <w:noWrap/>
            <w:vAlign w:val="center"/>
          </w:tcPr>
          <w:p w14:paraId="2E766952">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套</w:t>
            </w:r>
          </w:p>
        </w:tc>
        <w:tc>
          <w:tcPr>
            <w:tcW w:w="1171" w:type="dxa"/>
            <w:tcBorders>
              <w:top w:val="single" w:color="auto" w:sz="4" w:space="0"/>
              <w:left w:val="single" w:color="auto" w:sz="4" w:space="0"/>
              <w:bottom w:val="single" w:color="auto" w:sz="4" w:space="0"/>
              <w:right w:val="single" w:color="auto" w:sz="4" w:space="0"/>
            </w:tcBorders>
            <w:noWrap/>
            <w:vAlign w:val="center"/>
          </w:tcPr>
          <w:p w14:paraId="4E2577C0">
            <w:pPr>
              <w:spacing w:line="24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r>
      <w:tr w14:paraId="6FA04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7" w:type="dxa"/>
            <w:tcBorders>
              <w:top w:val="single" w:color="auto" w:sz="4" w:space="0"/>
              <w:left w:val="single" w:color="auto" w:sz="4" w:space="0"/>
              <w:bottom w:val="single" w:color="auto" w:sz="4" w:space="0"/>
              <w:right w:val="single" w:color="auto" w:sz="4" w:space="0"/>
            </w:tcBorders>
            <w:noWrap/>
            <w:vAlign w:val="center"/>
          </w:tcPr>
          <w:p w14:paraId="59BA114A">
            <w:pPr>
              <w:jc w:val="center"/>
              <w:rPr>
                <w:rFonts w:hint="eastAsia" w:ascii="仿宋" w:hAnsi="仿宋" w:eastAsia="仿宋" w:cs="仿宋"/>
                <w:sz w:val="24"/>
                <w:szCs w:val="24"/>
                <w:lang w:val="en-US" w:eastAsia="zh-CN"/>
              </w:rPr>
            </w:pPr>
          </w:p>
        </w:tc>
        <w:tc>
          <w:tcPr>
            <w:tcW w:w="2447" w:type="dxa"/>
            <w:tcBorders>
              <w:top w:val="single" w:color="auto" w:sz="4" w:space="0"/>
              <w:left w:val="single" w:color="auto" w:sz="4" w:space="0"/>
              <w:bottom w:val="single" w:color="auto" w:sz="4" w:space="0"/>
              <w:right w:val="single" w:color="auto" w:sz="4" w:space="0"/>
            </w:tcBorders>
            <w:noWrap/>
            <w:vAlign w:val="center"/>
          </w:tcPr>
          <w:p w14:paraId="10C518FC">
            <w:pPr>
              <w:spacing w:line="240" w:lineRule="auto"/>
              <w:jc w:val="center"/>
              <w:rPr>
                <w:rFonts w:hint="eastAsia" w:ascii="仿宋" w:hAnsi="仿宋" w:eastAsia="仿宋" w:cs="仿宋"/>
                <w:sz w:val="24"/>
                <w:szCs w:val="24"/>
                <w:lang w:val="en-US" w:eastAsia="zh-CN"/>
              </w:rPr>
            </w:pPr>
          </w:p>
        </w:tc>
        <w:tc>
          <w:tcPr>
            <w:tcW w:w="1636" w:type="dxa"/>
            <w:tcBorders>
              <w:top w:val="single" w:color="auto" w:sz="4" w:space="0"/>
              <w:left w:val="single" w:color="auto" w:sz="4" w:space="0"/>
              <w:bottom w:val="single" w:color="auto" w:sz="4" w:space="0"/>
              <w:right w:val="single" w:color="auto" w:sz="4" w:space="0"/>
            </w:tcBorders>
            <w:noWrap/>
            <w:vAlign w:val="center"/>
          </w:tcPr>
          <w:p w14:paraId="7162BFF0">
            <w:pPr>
              <w:spacing w:line="240" w:lineRule="auto"/>
              <w:jc w:val="center"/>
              <w:rPr>
                <w:rFonts w:hint="eastAsia" w:ascii="仿宋" w:hAnsi="仿宋" w:eastAsia="仿宋" w:cs="仿宋"/>
                <w:sz w:val="24"/>
                <w:szCs w:val="24"/>
                <w:lang w:val="en-US" w:eastAsia="zh-CN"/>
              </w:rPr>
            </w:pPr>
          </w:p>
        </w:tc>
        <w:tc>
          <w:tcPr>
            <w:tcW w:w="825" w:type="dxa"/>
            <w:tcBorders>
              <w:top w:val="single" w:color="auto" w:sz="4" w:space="0"/>
              <w:left w:val="single" w:color="auto" w:sz="4" w:space="0"/>
              <w:bottom w:val="single" w:color="auto" w:sz="4" w:space="0"/>
              <w:right w:val="single" w:color="auto" w:sz="4" w:space="0"/>
            </w:tcBorders>
            <w:noWrap/>
            <w:vAlign w:val="center"/>
          </w:tcPr>
          <w:p w14:paraId="37682C7A">
            <w:pPr>
              <w:jc w:val="center"/>
              <w:rPr>
                <w:rFonts w:hint="eastAsia" w:ascii="仿宋" w:hAnsi="仿宋" w:eastAsia="仿宋" w:cs="仿宋"/>
                <w:sz w:val="24"/>
                <w:szCs w:val="24"/>
              </w:rPr>
            </w:pPr>
          </w:p>
        </w:tc>
        <w:tc>
          <w:tcPr>
            <w:tcW w:w="825" w:type="dxa"/>
            <w:tcBorders>
              <w:top w:val="single" w:color="auto" w:sz="4" w:space="0"/>
              <w:left w:val="single" w:color="auto" w:sz="4" w:space="0"/>
              <w:bottom w:val="single" w:color="auto" w:sz="4" w:space="0"/>
              <w:right w:val="single" w:color="auto" w:sz="4" w:space="0"/>
            </w:tcBorders>
            <w:noWrap/>
            <w:vAlign w:val="center"/>
          </w:tcPr>
          <w:p w14:paraId="70EBB5BA">
            <w:pPr>
              <w:jc w:val="center"/>
              <w:rPr>
                <w:rFonts w:hint="eastAsia" w:ascii="仿宋" w:hAnsi="仿宋" w:eastAsia="仿宋" w:cs="仿宋"/>
                <w:sz w:val="24"/>
                <w:szCs w:val="24"/>
              </w:rPr>
            </w:pPr>
          </w:p>
        </w:tc>
        <w:tc>
          <w:tcPr>
            <w:tcW w:w="705" w:type="dxa"/>
            <w:tcBorders>
              <w:top w:val="single" w:color="auto" w:sz="4" w:space="0"/>
              <w:left w:val="single" w:color="auto" w:sz="4" w:space="0"/>
              <w:bottom w:val="single" w:color="auto" w:sz="4" w:space="0"/>
              <w:right w:val="single" w:color="auto" w:sz="4" w:space="0"/>
            </w:tcBorders>
            <w:noWrap/>
            <w:vAlign w:val="center"/>
          </w:tcPr>
          <w:p w14:paraId="3C558C41">
            <w:pPr>
              <w:jc w:val="center"/>
              <w:rPr>
                <w:rFonts w:hint="eastAsia" w:ascii="仿宋" w:hAnsi="仿宋" w:eastAsia="仿宋" w:cs="仿宋"/>
                <w:sz w:val="24"/>
                <w:szCs w:val="24"/>
                <w:lang w:val="en-US" w:eastAsia="zh-CN"/>
              </w:rPr>
            </w:pPr>
          </w:p>
        </w:tc>
        <w:tc>
          <w:tcPr>
            <w:tcW w:w="1171" w:type="dxa"/>
            <w:tcBorders>
              <w:top w:val="single" w:color="auto" w:sz="4" w:space="0"/>
              <w:left w:val="single" w:color="auto" w:sz="4" w:space="0"/>
              <w:bottom w:val="single" w:color="auto" w:sz="4" w:space="0"/>
              <w:right w:val="single" w:color="auto" w:sz="4" w:space="0"/>
            </w:tcBorders>
            <w:noWrap/>
            <w:vAlign w:val="center"/>
          </w:tcPr>
          <w:p w14:paraId="2BD0EFED">
            <w:pPr>
              <w:spacing w:line="240" w:lineRule="auto"/>
              <w:jc w:val="center"/>
              <w:rPr>
                <w:rFonts w:hint="eastAsia" w:ascii="仿宋" w:hAnsi="仿宋" w:eastAsia="仿宋" w:cs="仿宋"/>
                <w:sz w:val="24"/>
                <w:szCs w:val="24"/>
                <w:lang w:val="en-US" w:eastAsia="zh-CN"/>
              </w:rPr>
            </w:pPr>
          </w:p>
        </w:tc>
      </w:tr>
    </w:tbl>
    <w:p w14:paraId="29D1217B">
      <w:pPr>
        <w:pStyle w:val="17"/>
        <w:spacing w:afterLines="50"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2062174A">
      <w:pPr>
        <w:pStyle w:val="17"/>
        <w:numPr>
          <w:ilvl w:val="0"/>
          <w:numId w:val="2"/>
        </w:numPr>
        <w:spacing w:afterLines="50" w:line="3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其他要求</w:t>
      </w:r>
    </w:p>
    <w:tbl>
      <w:tblPr>
        <w:tblStyle w:val="11"/>
        <w:tblW w:w="8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8047"/>
      </w:tblGrid>
      <w:tr w14:paraId="4A6CE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672" w:type="dxa"/>
            <w:noWrap/>
            <w:vAlign w:val="center"/>
          </w:tcPr>
          <w:p w14:paraId="65CFFAE5">
            <w:pPr>
              <w:pStyle w:val="17"/>
              <w:spacing w:afterLines="50"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8047" w:type="dxa"/>
            <w:noWrap/>
            <w:vAlign w:val="center"/>
          </w:tcPr>
          <w:p w14:paraId="50BA8F16">
            <w:pPr>
              <w:pStyle w:val="17"/>
              <w:spacing w:afterLines="50"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投标响应参数</w:t>
            </w:r>
          </w:p>
        </w:tc>
      </w:tr>
      <w:tr w14:paraId="1F6FB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672" w:type="dxa"/>
            <w:noWrap/>
            <w:vAlign w:val="center"/>
          </w:tcPr>
          <w:p w14:paraId="3AD0FA33">
            <w:pPr>
              <w:pStyle w:val="17"/>
              <w:spacing w:afterLines="50"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8047" w:type="dxa"/>
            <w:noWrap/>
            <w:vAlign w:val="center"/>
          </w:tcPr>
          <w:p w14:paraId="0F755F54">
            <w:pPr>
              <w:rPr>
                <w:rFonts w:hint="eastAsia" w:ascii="仿宋" w:hAnsi="仿宋" w:eastAsia="仿宋" w:cs="仿宋"/>
                <w:sz w:val="24"/>
                <w:szCs w:val="24"/>
              </w:rPr>
            </w:pPr>
            <w:r>
              <w:rPr>
                <w:rFonts w:hint="eastAsia" w:ascii="仿宋" w:hAnsi="仿宋" w:eastAsia="仿宋" w:cs="仿宋"/>
                <w:sz w:val="24"/>
                <w:szCs w:val="24"/>
              </w:rPr>
              <w:t>服务类型： 全保服务：包括维修、配件、安装调试、定期保养、紧急维护、技术支持、人工税费等所有费用，采购人不再支付额外费用。</w:t>
            </w:r>
          </w:p>
        </w:tc>
      </w:tr>
      <w:tr w14:paraId="28CB4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672" w:type="dxa"/>
            <w:noWrap/>
            <w:vAlign w:val="center"/>
          </w:tcPr>
          <w:p w14:paraId="30773824">
            <w:pPr>
              <w:pStyle w:val="17"/>
              <w:spacing w:afterLines="50"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8047" w:type="dxa"/>
            <w:noWrap/>
            <w:vAlign w:val="center"/>
          </w:tcPr>
          <w:p w14:paraId="02605665">
            <w:pPr>
              <w:rPr>
                <w:rFonts w:hint="eastAsia" w:ascii="仿宋" w:hAnsi="仿宋" w:eastAsia="仿宋" w:cs="仿宋"/>
                <w:sz w:val="24"/>
                <w:szCs w:val="24"/>
              </w:rPr>
            </w:pPr>
            <w:r>
              <w:rPr>
                <w:rFonts w:hint="eastAsia" w:ascii="仿宋" w:hAnsi="仿宋" w:eastAsia="仿宋" w:cs="仿宋"/>
                <w:sz w:val="24"/>
                <w:szCs w:val="24"/>
              </w:rPr>
              <w:t>投标人提供专业工具、派遣专业人员，每年提供不限次数的人工上门维修服务。</w:t>
            </w:r>
          </w:p>
        </w:tc>
      </w:tr>
      <w:tr w14:paraId="1155E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672" w:type="dxa"/>
            <w:noWrap/>
            <w:vAlign w:val="center"/>
          </w:tcPr>
          <w:p w14:paraId="30903EC1">
            <w:pPr>
              <w:pStyle w:val="17"/>
              <w:spacing w:afterLines="50"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8047" w:type="dxa"/>
            <w:noWrap/>
            <w:vAlign w:val="center"/>
          </w:tcPr>
          <w:p w14:paraId="7FE628AF">
            <w:pPr>
              <w:pStyle w:val="17"/>
              <w:spacing w:afterLines="50" w:line="300" w:lineRule="exact"/>
              <w:rPr>
                <w:rFonts w:hint="eastAsia" w:ascii="仿宋" w:hAnsi="仿宋" w:eastAsia="仿宋" w:cs="仿宋"/>
                <w:color w:val="auto"/>
                <w:sz w:val="24"/>
                <w:szCs w:val="24"/>
              </w:rPr>
            </w:pPr>
            <w:r>
              <w:rPr>
                <w:rFonts w:hint="eastAsia" w:ascii="仿宋" w:hAnsi="仿宋" w:eastAsia="仿宋" w:cs="仿宋"/>
                <w:color w:val="auto"/>
                <w:sz w:val="24"/>
                <w:szCs w:val="24"/>
              </w:rPr>
              <w:t>中标人对使用人员和医院维护人员给予必要的培训指导，并做好培训记录。</w:t>
            </w:r>
          </w:p>
        </w:tc>
      </w:tr>
      <w:tr w14:paraId="25DA1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672" w:type="dxa"/>
            <w:noWrap/>
            <w:vAlign w:val="center"/>
          </w:tcPr>
          <w:p w14:paraId="50DF35E2">
            <w:pPr>
              <w:pStyle w:val="17"/>
              <w:spacing w:afterLines="50"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8047" w:type="dxa"/>
            <w:noWrap/>
            <w:vAlign w:val="center"/>
          </w:tcPr>
          <w:p w14:paraId="27A24314">
            <w:pPr>
              <w:rPr>
                <w:rFonts w:hint="eastAsia" w:ascii="仿宋" w:hAnsi="仿宋" w:eastAsia="仿宋" w:cs="仿宋"/>
                <w:sz w:val="24"/>
                <w:szCs w:val="24"/>
              </w:rPr>
            </w:pPr>
            <w:r>
              <w:rPr>
                <w:rFonts w:hint="eastAsia" w:ascii="仿宋" w:hAnsi="仿宋" w:eastAsia="仿宋" w:cs="仿宋"/>
                <w:sz w:val="24"/>
                <w:szCs w:val="24"/>
              </w:rPr>
              <w:t>中标人提供定期保养计划，定期进行维护与保养（每年至少不低于</w:t>
            </w:r>
            <w:r>
              <w:rPr>
                <w:rFonts w:hint="eastAsia" w:ascii="仿宋" w:hAnsi="仿宋" w:eastAsia="仿宋" w:cs="仿宋"/>
                <w:sz w:val="24"/>
                <w:szCs w:val="24"/>
                <w:lang w:val="en-US" w:eastAsia="zh-CN"/>
              </w:rPr>
              <w:t>4</w:t>
            </w:r>
            <w:r>
              <w:rPr>
                <w:rFonts w:hint="eastAsia" w:ascii="仿宋" w:hAnsi="仿宋" w:eastAsia="仿宋" w:cs="仿宋"/>
                <w:sz w:val="24"/>
                <w:szCs w:val="24"/>
              </w:rPr>
              <w:t>次）定期保养包括机器清洁、性能测试及校准、必要的机械或电气的检查、非紧急性质的补救性维护和确保系统能按照制造商的产品规格运行的其他维护。保养完成后，中标人需做好保养报告的记录，经采购人进行签字验收后，定期向设备</w:t>
            </w:r>
            <w:r>
              <w:rPr>
                <w:rFonts w:hint="eastAsia" w:ascii="仿宋" w:hAnsi="仿宋" w:eastAsia="仿宋" w:cs="仿宋"/>
                <w:sz w:val="24"/>
                <w:szCs w:val="24"/>
                <w:lang w:val="en-US" w:eastAsia="zh-CN"/>
              </w:rPr>
              <w:t>维修</w:t>
            </w:r>
            <w:r>
              <w:rPr>
                <w:rFonts w:hint="eastAsia" w:ascii="仿宋" w:hAnsi="仿宋" w:eastAsia="仿宋" w:cs="仿宋"/>
                <w:sz w:val="24"/>
                <w:szCs w:val="24"/>
              </w:rPr>
              <w:t xml:space="preserve">科进行资料移交作存档及结算处理。 </w:t>
            </w:r>
          </w:p>
        </w:tc>
      </w:tr>
      <w:tr w14:paraId="4B722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672" w:type="dxa"/>
            <w:noWrap/>
            <w:vAlign w:val="center"/>
          </w:tcPr>
          <w:p w14:paraId="3FD12B5B">
            <w:pPr>
              <w:pStyle w:val="17"/>
              <w:spacing w:afterLines="50"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tcW w:w="8047" w:type="dxa"/>
            <w:noWrap/>
            <w:vAlign w:val="center"/>
          </w:tcPr>
          <w:p w14:paraId="42D5F452">
            <w:pPr>
              <w:rPr>
                <w:rFonts w:hint="eastAsia" w:ascii="仿宋" w:hAnsi="仿宋" w:eastAsia="仿宋" w:cs="仿宋"/>
                <w:sz w:val="24"/>
                <w:szCs w:val="24"/>
              </w:rPr>
            </w:pPr>
            <w:r>
              <w:rPr>
                <w:rFonts w:hint="eastAsia" w:ascii="仿宋" w:hAnsi="仿宋" w:eastAsia="仿宋" w:cs="仿宋"/>
                <w:sz w:val="24"/>
                <w:szCs w:val="24"/>
              </w:rPr>
              <w:t>投标单位必须具备配件仓库，保持配件充足，提供的备件必须为与原设备型号一致的原厂备件，安装完毕后达到设备运行标准。</w:t>
            </w:r>
          </w:p>
        </w:tc>
      </w:tr>
      <w:tr w14:paraId="5866F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672" w:type="dxa"/>
            <w:noWrap/>
            <w:vAlign w:val="center"/>
          </w:tcPr>
          <w:p w14:paraId="2D1F5E30">
            <w:pPr>
              <w:pStyle w:val="17"/>
              <w:spacing w:afterLines="50"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tcW w:w="8047" w:type="dxa"/>
            <w:noWrap/>
            <w:vAlign w:val="center"/>
          </w:tcPr>
          <w:p w14:paraId="0D5269A2">
            <w:pPr>
              <w:rPr>
                <w:rFonts w:hint="eastAsia" w:ascii="仿宋" w:hAnsi="仿宋" w:eastAsia="仿宋" w:cs="仿宋"/>
                <w:sz w:val="24"/>
                <w:szCs w:val="24"/>
              </w:rPr>
            </w:pPr>
            <w:r>
              <w:rPr>
                <w:rFonts w:hint="eastAsia" w:ascii="仿宋" w:hAnsi="仿宋" w:eastAsia="仿宋" w:cs="仿宋"/>
                <w:sz w:val="24"/>
                <w:szCs w:val="24"/>
              </w:rPr>
              <w:t>服务时间：周一至周日。紧急维护：乙方为甲方提供在线支持、现场维护及零备件更换。初次电话响应时间：</w:t>
            </w:r>
            <w:r>
              <w:rPr>
                <w:rFonts w:hint="eastAsia" w:ascii="仿宋" w:hAnsi="仿宋" w:eastAsia="仿宋" w:cs="仿宋"/>
                <w:sz w:val="24"/>
                <w:szCs w:val="24"/>
                <w:lang w:val="en-US" w:eastAsia="zh-CN"/>
              </w:rPr>
              <w:t>10</w:t>
            </w:r>
            <w:r>
              <w:rPr>
                <w:rFonts w:hint="eastAsia" w:ascii="仿宋" w:hAnsi="仿宋" w:eastAsia="仿宋" w:cs="仿宋"/>
                <w:sz w:val="24"/>
                <w:szCs w:val="24"/>
              </w:rPr>
              <w:t>分钟；一般故障必须在</w:t>
            </w:r>
            <w:r>
              <w:rPr>
                <w:rFonts w:hint="eastAsia" w:ascii="仿宋" w:hAnsi="仿宋" w:eastAsia="仿宋" w:cs="仿宋"/>
                <w:sz w:val="24"/>
                <w:szCs w:val="24"/>
                <w:lang w:val="en-US" w:eastAsia="zh-CN"/>
              </w:rPr>
              <w:t>5</w:t>
            </w:r>
            <w:r>
              <w:rPr>
                <w:rFonts w:hint="eastAsia" w:ascii="仿宋" w:hAnsi="仿宋" w:eastAsia="仿宋" w:cs="仿宋"/>
                <w:sz w:val="24"/>
                <w:szCs w:val="24"/>
              </w:rPr>
              <w:t>小时内派出技术人员至达现场解决问题，疑难故障24小时内解决。维修完成后，中标人需做好维修工单及保养报告的记录，采购人派人进行签字验收，并定期向设备</w:t>
            </w:r>
            <w:r>
              <w:rPr>
                <w:rFonts w:hint="eastAsia" w:ascii="仿宋" w:hAnsi="仿宋" w:eastAsia="仿宋" w:cs="仿宋"/>
                <w:sz w:val="24"/>
                <w:szCs w:val="24"/>
                <w:lang w:val="en-US" w:eastAsia="zh-CN"/>
              </w:rPr>
              <w:t>维修</w:t>
            </w:r>
            <w:r>
              <w:rPr>
                <w:rFonts w:hint="eastAsia" w:ascii="仿宋" w:hAnsi="仿宋" w:eastAsia="仿宋" w:cs="仿宋"/>
                <w:sz w:val="24"/>
                <w:szCs w:val="24"/>
              </w:rPr>
              <w:t>科进行资料移交作存档及结算处理。</w:t>
            </w:r>
          </w:p>
        </w:tc>
      </w:tr>
      <w:tr w14:paraId="6714F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72" w:type="dxa"/>
            <w:noWrap/>
            <w:vAlign w:val="center"/>
          </w:tcPr>
          <w:p w14:paraId="22D3AF88">
            <w:pPr>
              <w:pStyle w:val="17"/>
              <w:spacing w:afterLines="50"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7</w:t>
            </w:r>
          </w:p>
        </w:tc>
        <w:tc>
          <w:tcPr>
            <w:tcW w:w="8047" w:type="dxa"/>
            <w:noWrap/>
            <w:vAlign w:val="center"/>
          </w:tcPr>
          <w:p w14:paraId="5CD7FC88">
            <w:pPr>
              <w:pStyle w:val="5"/>
              <w:numPr>
                <w:ilvl w:val="0"/>
                <w:numId w:val="0"/>
              </w:numPr>
              <w:tabs>
                <w:tab w:val="left" w:pos="312"/>
              </w:tabs>
              <w:snapToGrid w:val="0"/>
              <w:spacing w:line="480" w:lineRule="auto"/>
              <w:rPr>
                <w:rFonts w:hint="eastAsia" w:ascii="仿宋" w:hAnsi="仿宋" w:eastAsia="仿宋" w:cs="仿宋"/>
                <w:color w:val="auto"/>
                <w:sz w:val="24"/>
                <w:szCs w:val="24"/>
              </w:rPr>
            </w:pPr>
            <w:r>
              <w:rPr>
                <w:rFonts w:hint="eastAsia" w:ascii="仿宋" w:hAnsi="仿宋" w:eastAsia="仿宋" w:cs="仿宋"/>
                <w:b/>
                <w:bCs w:val="0"/>
                <w:color w:val="auto"/>
                <w:sz w:val="24"/>
                <w:szCs w:val="24"/>
                <w:lang w:val="en-US" w:eastAsia="zh-CN" w:bidi="ar-SA"/>
              </w:rPr>
              <w:t>本项目不统一组织现场勘查，投标单位须自行与我院联系，了解我院门诊药房设备现在状态及院方要求并在响应文件中作出声明函。提供现场勘察图片及现场勘察证明。</w:t>
            </w:r>
          </w:p>
        </w:tc>
      </w:tr>
      <w:tr w14:paraId="077DC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672" w:type="dxa"/>
            <w:noWrap/>
            <w:vAlign w:val="center"/>
          </w:tcPr>
          <w:p w14:paraId="7600AD73">
            <w:pPr>
              <w:pStyle w:val="17"/>
              <w:spacing w:afterLines="50"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8</w:t>
            </w:r>
          </w:p>
        </w:tc>
        <w:tc>
          <w:tcPr>
            <w:tcW w:w="8047" w:type="dxa"/>
            <w:noWrap/>
            <w:vAlign w:val="center"/>
          </w:tcPr>
          <w:p w14:paraId="5BCF5E2D">
            <w:pPr>
              <w:pStyle w:val="17"/>
              <w:spacing w:afterLines="50" w:line="300" w:lineRule="exact"/>
              <w:rPr>
                <w:rFonts w:hint="eastAsia" w:ascii="仿宋" w:hAnsi="仿宋" w:eastAsia="仿宋" w:cs="仿宋"/>
                <w:color w:val="auto"/>
                <w:sz w:val="24"/>
                <w:szCs w:val="24"/>
              </w:rPr>
            </w:pPr>
            <w:r>
              <w:rPr>
                <w:rFonts w:hint="eastAsia" w:ascii="仿宋" w:hAnsi="仿宋" w:eastAsia="仿宋" w:cs="仿宋"/>
                <w:color w:val="auto"/>
                <w:sz w:val="24"/>
                <w:szCs w:val="24"/>
              </w:rPr>
              <w:t>对设备进行潜在的隐患分析，保证设备正常开机率达95%</w:t>
            </w:r>
            <w:r>
              <w:rPr>
                <w:rFonts w:hint="eastAsia" w:ascii="仿宋" w:hAnsi="仿宋" w:eastAsia="仿宋" w:cs="仿宋"/>
                <w:color w:val="auto"/>
                <w:sz w:val="24"/>
                <w:szCs w:val="24"/>
                <w:lang w:val="en-US" w:eastAsia="zh-CN"/>
              </w:rPr>
              <w:t>以上</w:t>
            </w:r>
            <w:r>
              <w:rPr>
                <w:rFonts w:hint="eastAsia" w:ascii="仿宋" w:hAnsi="仿宋" w:eastAsia="仿宋" w:cs="仿宋"/>
                <w:color w:val="auto"/>
                <w:sz w:val="24"/>
                <w:szCs w:val="24"/>
              </w:rPr>
              <w:t>（即总停机</w:t>
            </w:r>
            <w:r>
              <w:rPr>
                <w:rFonts w:hint="eastAsia" w:ascii="仿宋" w:hAnsi="仿宋" w:eastAsia="仿宋" w:cs="仿宋"/>
                <w:color w:val="auto"/>
                <w:sz w:val="24"/>
                <w:szCs w:val="24"/>
                <w:lang w:val="en-US" w:eastAsia="zh-CN"/>
              </w:rPr>
              <w:t>不</w:t>
            </w:r>
            <w:r>
              <w:rPr>
                <w:rFonts w:hint="eastAsia" w:ascii="仿宋" w:hAnsi="仿宋" w:eastAsia="仿宋" w:cs="仿宋"/>
                <w:color w:val="auto"/>
                <w:sz w:val="24"/>
                <w:szCs w:val="24"/>
              </w:rPr>
              <w:t>超过18天），每超一天则保修期往后顺延5天。</w:t>
            </w:r>
            <w:r>
              <w:rPr>
                <w:rFonts w:hint="eastAsia" w:ascii="仿宋" w:hAnsi="仿宋" w:eastAsia="仿宋" w:cs="仿宋"/>
                <w:color w:val="auto"/>
                <w:sz w:val="24"/>
                <w:szCs w:val="24"/>
                <w:lang w:val="en-US" w:eastAsia="zh-CN"/>
              </w:rPr>
              <w:t>(以自然日算）</w:t>
            </w:r>
            <w:r>
              <w:rPr>
                <w:rFonts w:hint="eastAsia" w:ascii="仿宋" w:hAnsi="仿宋" w:eastAsia="仿宋" w:cs="仿宋"/>
                <w:color w:val="auto"/>
                <w:sz w:val="24"/>
                <w:szCs w:val="24"/>
              </w:rPr>
              <w:t>每年度提供设备运行分析报告，经采购单位签字验收后作为结算依据。</w:t>
            </w:r>
          </w:p>
        </w:tc>
      </w:tr>
      <w:tr w14:paraId="5431A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672" w:type="dxa"/>
            <w:noWrap/>
            <w:vAlign w:val="center"/>
          </w:tcPr>
          <w:p w14:paraId="6059838D">
            <w:pPr>
              <w:pStyle w:val="17"/>
              <w:spacing w:afterLines="50"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9</w:t>
            </w:r>
          </w:p>
        </w:tc>
        <w:tc>
          <w:tcPr>
            <w:tcW w:w="8047" w:type="dxa"/>
            <w:noWrap/>
            <w:vAlign w:val="center"/>
          </w:tcPr>
          <w:p w14:paraId="4A607346">
            <w:pPr>
              <w:rPr>
                <w:rFonts w:hint="eastAsia" w:ascii="仿宋" w:hAnsi="仿宋" w:eastAsia="仿宋" w:cs="仿宋"/>
                <w:sz w:val="24"/>
                <w:szCs w:val="24"/>
              </w:rPr>
            </w:pPr>
            <w:r>
              <w:rPr>
                <w:rFonts w:hint="eastAsia" w:ascii="仿宋" w:hAnsi="仿宋" w:eastAsia="仿宋" w:cs="仿宋"/>
                <w:sz w:val="24"/>
                <w:szCs w:val="24"/>
              </w:rPr>
              <w:t>合同期内医院享受厂家最新软件版本的免费升级。</w:t>
            </w:r>
          </w:p>
        </w:tc>
      </w:tr>
    </w:tbl>
    <w:p w14:paraId="29173C2E">
      <w:pPr>
        <w:rPr>
          <w:rFonts w:hint="eastAsia" w:ascii="仿宋" w:hAnsi="仿宋" w:eastAsia="仿宋" w:cs="仿宋"/>
          <w:sz w:val="24"/>
          <w:szCs w:val="24"/>
          <w:lang w:val="en-US" w:eastAsia="zh-CN"/>
        </w:rPr>
      </w:pPr>
    </w:p>
    <w:p w14:paraId="141A10B5">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r>
        <w:rPr>
          <w:rFonts w:hint="eastAsia" w:ascii="仿宋" w:hAnsi="仿宋" w:eastAsia="仿宋" w:cs="仿宋"/>
          <w:b/>
          <w:bCs/>
          <w:sz w:val="24"/>
          <w:szCs w:val="24"/>
        </w:rPr>
        <w:t>付款方式：</w:t>
      </w:r>
      <w:r>
        <w:rPr>
          <w:rFonts w:hint="eastAsia" w:ascii="仿宋" w:hAnsi="仿宋" w:eastAsia="仿宋" w:cs="仿宋"/>
          <w:sz w:val="24"/>
          <w:szCs w:val="24"/>
          <w:lang w:val="en-US" w:eastAsia="zh-CN"/>
        </w:rPr>
        <w:t>按半年度支付，</w:t>
      </w:r>
      <w:r>
        <w:rPr>
          <w:rFonts w:hint="eastAsia" w:ascii="仿宋" w:hAnsi="仿宋" w:eastAsia="仿宋" w:cs="仿宋"/>
          <w:sz w:val="24"/>
          <w:szCs w:val="24"/>
        </w:rPr>
        <w:t>乙方应向甲方提供合法的发票，甲方应于合同生效后</w:t>
      </w:r>
      <w:r>
        <w:rPr>
          <w:rFonts w:hint="eastAsia" w:ascii="仿宋" w:hAnsi="仿宋" w:eastAsia="仿宋" w:cs="仿宋"/>
          <w:sz w:val="24"/>
          <w:szCs w:val="24"/>
          <w:lang w:val="en-US" w:eastAsia="zh-CN"/>
        </w:rPr>
        <w:t>每半年内</w:t>
      </w:r>
      <w:r>
        <w:rPr>
          <w:rFonts w:hint="eastAsia" w:ascii="仿宋" w:hAnsi="仿宋" w:eastAsia="仿宋" w:cs="仿宋"/>
          <w:sz w:val="24"/>
          <w:szCs w:val="24"/>
        </w:rPr>
        <w:t>内</w:t>
      </w:r>
      <w:r>
        <w:rPr>
          <w:rFonts w:hint="eastAsia" w:ascii="仿宋" w:hAnsi="仿宋" w:eastAsia="仿宋" w:cs="仿宋"/>
          <w:sz w:val="24"/>
          <w:szCs w:val="24"/>
          <w:lang w:val="en-US" w:eastAsia="zh-CN"/>
        </w:rPr>
        <w:t>付一次款。</w:t>
      </w:r>
    </w:p>
    <w:p w14:paraId="01EAEF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三、标书要求</w:t>
      </w:r>
    </w:p>
    <w:p w14:paraId="49AD9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1、封面：需注明标的名称、投标文件、单位、时间；</w:t>
      </w:r>
    </w:p>
    <w:p w14:paraId="45E3A8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14:paraId="32DC3C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3、投标人身份证复印件；</w:t>
      </w:r>
    </w:p>
    <w:p w14:paraId="46113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8A65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5、履行本项目所必需的资质证明；</w:t>
      </w:r>
    </w:p>
    <w:p w14:paraId="04BCD3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6、针对此项目的技术、服务方案；</w:t>
      </w:r>
    </w:p>
    <w:p w14:paraId="76A70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7、投标人认为需提供的其他和评审有关的资料；</w:t>
      </w:r>
    </w:p>
    <w:p w14:paraId="72B222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8、投标文件的每一页都必须加盖投标单位的公章；</w:t>
      </w:r>
    </w:p>
    <w:p w14:paraId="7AA24E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9、投标文件参数响应表中必须标注响应项佐证材料所对应页面。</w:t>
      </w:r>
    </w:p>
    <w:p w14:paraId="23E96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05B011A">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四、合同</w:t>
      </w:r>
    </w:p>
    <w:p w14:paraId="40C31FB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 xml:space="preserve">       </w:t>
      </w:r>
      <w:r>
        <w:rPr>
          <w:rFonts w:hint="eastAsia" w:ascii="仿宋" w:hAnsi="仿宋" w:eastAsia="仿宋" w:cs="仿宋"/>
          <w:b w:val="0"/>
          <w:bCs w:val="0"/>
          <w:color w:val="auto"/>
          <w:sz w:val="24"/>
          <w:szCs w:val="24"/>
          <w:highlight w:val="none"/>
          <w:lang w:val="en-US" w:eastAsia="zh-CN"/>
        </w:rPr>
        <w:t xml:space="preserve">                                                合同编号：</w:t>
      </w:r>
    </w:p>
    <w:p w14:paraId="397ED8D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门诊药房自动化设备维保采购合同</w:t>
      </w:r>
    </w:p>
    <w:p w14:paraId="4FBA298D">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b/>
          <w:bCs/>
          <w:color w:val="auto"/>
          <w:sz w:val="24"/>
          <w:szCs w:val="24"/>
          <w:highlight w:val="none"/>
          <w:lang w:val="en-US" w:eastAsia="zh-CN"/>
        </w:rPr>
      </w:pPr>
    </w:p>
    <w:p w14:paraId="0C12F7F0">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甲方（采购方）：</w:t>
      </w:r>
      <w:r>
        <w:rPr>
          <w:rFonts w:hint="eastAsia" w:ascii="仿宋" w:hAnsi="仿宋" w:eastAsia="仿宋" w:cs="仿宋"/>
          <w:color w:val="auto"/>
          <w:sz w:val="24"/>
          <w:szCs w:val="24"/>
          <w:highlight w:val="none"/>
          <w:lang w:val="en-US" w:eastAsia="zh-CN"/>
        </w:rPr>
        <w:t>娄底市中心医院</w:t>
      </w:r>
    </w:p>
    <w:p w14:paraId="15D57D54">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法定代表人：杨吉军</w:t>
      </w:r>
    </w:p>
    <w:p w14:paraId="24FA6514">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统一社会信用代码：12431300447162073W</w:t>
      </w:r>
    </w:p>
    <w:p w14:paraId="506D9BE8">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地址：湖南省娄底市娄星区长青中街51号</w:t>
      </w:r>
    </w:p>
    <w:p w14:paraId="28C16453">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联系人：</w:t>
      </w:r>
    </w:p>
    <w:p w14:paraId="31A544B1">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联系电话：</w:t>
      </w:r>
    </w:p>
    <w:p w14:paraId="5CD24588">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乙方（供货方）：</w:t>
      </w:r>
    </w:p>
    <w:p w14:paraId="433E36C3">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法定代表人：</w:t>
      </w:r>
    </w:p>
    <w:p w14:paraId="0B77D1A5">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统一社会信用代码：</w:t>
      </w:r>
    </w:p>
    <w:p w14:paraId="455EF3A3">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地址：</w:t>
      </w:r>
    </w:p>
    <w:p w14:paraId="46E6DB61">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联系人：</w:t>
      </w:r>
    </w:p>
    <w:p w14:paraId="034DBB92">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联系电话：</w:t>
      </w:r>
    </w:p>
    <w:p w14:paraId="6609E702">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仿宋" w:hAnsi="仿宋" w:eastAsia="仿宋" w:cs="仿宋"/>
          <w:color w:val="auto"/>
          <w:sz w:val="24"/>
          <w:szCs w:val="24"/>
          <w:highlight w:val="none"/>
          <w:lang w:val="en-US" w:eastAsia="zh-CN"/>
        </w:rPr>
      </w:pPr>
    </w:p>
    <w:p w14:paraId="2AD24B9F">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甲方通过（□</w:t>
      </w:r>
      <w:r>
        <w:rPr>
          <w:rFonts w:hint="eastAsia" w:ascii="仿宋" w:hAnsi="仿宋" w:eastAsia="仿宋" w:cs="仿宋"/>
          <w:color w:val="auto"/>
          <w:sz w:val="24"/>
          <w:szCs w:val="24"/>
          <w:highlight w:val="none"/>
          <w:u w:val="none"/>
          <w:lang w:val="en-US" w:eastAsia="zh-CN"/>
        </w:rPr>
        <w:t>公开招标</w:t>
      </w:r>
      <w:r>
        <w:rPr>
          <w:rFonts w:hint="eastAsia" w:ascii="仿宋" w:hAnsi="仿宋" w:eastAsia="仿宋" w:cs="仿宋"/>
          <w:color w:val="auto"/>
          <w:sz w:val="24"/>
          <w:szCs w:val="24"/>
          <w:highlight w:val="none"/>
          <w:lang w:val="en-US" w:eastAsia="zh-CN"/>
        </w:rPr>
        <w:t>☑医院公开挂网□医院院内议价□湖南政府采购电子卖场竞价）</w:t>
      </w:r>
      <w:r>
        <w:rPr>
          <w:rFonts w:hint="eastAsia" w:ascii="仿宋" w:hAnsi="仿宋" w:eastAsia="仿宋" w:cs="仿宋"/>
          <w:color w:val="auto"/>
          <w:sz w:val="24"/>
          <w:szCs w:val="24"/>
          <w:highlight w:val="none"/>
          <w:u w:val="none"/>
          <w:lang w:val="en-US" w:eastAsia="zh-CN"/>
        </w:rPr>
        <w:t>方式</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u w:val="single"/>
        </w:rPr>
        <w:t>门诊药房自动化设备维保服务</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，乙方为中标/中选供应商，</w:t>
      </w:r>
      <w:r>
        <w:rPr>
          <w:rFonts w:hint="eastAsia" w:ascii="仿宋" w:hAnsi="仿宋" w:eastAsia="仿宋" w:cs="仿宋"/>
          <w:color w:val="auto"/>
          <w:sz w:val="24"/>
          <w:szCs w:val="24"/>
          <w:highlight w:val="none"/>
          <w:u w:val="none"/>
          <w:lang w:val="en-US" w:eastAsia="zh-CN"/>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lang w:val="en-US" w:eastAsia="zh-CN"/>
        </w:rPr>
        <w:t>。根据《中华人民共和国民法典》《中华人民共和国政府采购法》等相关法律规定，甲乙双方在采购项目确定的基础上，就采购</w:t>
      </w:r>
      <w:r>
        <w:rPr>
          <w:rFonts w:hint="eastAsia" w:ascii="仿宋" w:hAnsi="仿宋" w:eastAsia="仿宋" w:cs="仿宋"/>
          <w:color w:val="auto"/>
          <w:sz w:val="24"/>
          <w:szCs w:val="24"/>
          <w:u w:val="single"/>
        </w:rPr>
        <w:t>门诊药房自动化设备维保服务</w:t>
      </w:r>
      <w:r>
        <w:rPr>
          <w:rFonts w:hint="eastAsia" w:ascii="仿宋" w:hAnsi="仿宋" w:eastAsia="仿宋" w:cs="仿宋"/>
          <w:color w:val="auto"/>
          <w:sz w:val="24"/>
          <w:szCs w:val="24"/>
          <w:highlight w:val="none"/>
          <w:u w:val="none"/>
          <w:lang w:val="en-US" w:eastAsia="zh-CN"/>
        </w:rPr>
        <w:t>相关</w:t>
      </w:r>
      <w:r>
        <w:rPr>
          <w:rFonts w:hint="eastAsia" w:ascii="仿宋" w:hAnsi="仿宋" w:eastAsia="仿宋" w:cs="仿宋"/>
          <w:color w:val="auto"/>
          <w:sz w:val="24"/>
          <w:szCs w:val="24"/>
          <w:highlight w:val="none"/>
          <w:lang w:val="en-US" w:eastAsia="zh-CN"/>
        </w:rPr>
        <w:t>事宜平等、自愿、公平、诚信协商，达成一致，特订立本合同，以资共同遵守。</w:t>
      </w:r>
    </w:p>
    <w:p w14:paraId="69F40A2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2" w:firstLineChars="200"/>
        <w:jc w:val="both"/>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kern w:val="2"/>
          <w:sz w:val="24"/>
          <w:szCs w:val="24"/>
          <w:highlight w:val="none"/>
          <w:lang w:val="en-US" w:eastAsia="zh-CN" w:bidi="ar-SA"/>
        </w:rPr>
        <w:t>第一条  服务</w:t>
      </w:r>
      <w:r>
        <w:rPr>
          <w:rFonts w:hint="eastAsia" w:ascii="仿宋" w:hAnsi="仿宋" w:eastAsia="仿宋" w:cs="仿宋"/>
          <w:b/>
          <w:bCs/>
          <w:color w:val="auto"/>
          <w:sz w:val="24"/>
          <w:szCs w:val="24"/>
          <w:highlight w:val="none"/>
          <w:lang w:val="en-US" w:eastAsia="zh-CN"/>
        </w:rPr>
        <w:t>内容</w:t>
      </w:r>
    </w:p>
    <w:p w14:paraId="65B133C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 维保设备信息：详见附件。</w:t>
      </w:r>
    </w:p>
    <w:p w14:paraId="4B834CEB">
      <w:pPr>
        <w:pStyle w:val="10"/>
        <w:keepNext w:val="0"/>
        <w:keepLines w:val="0"/>
        <w:pageBreakBefore w:val="0"/>
        <w:widowControl w:val="0"/>
        <w:kinsoku/>
        <w:wordWrap/>
        <w:overflowPunct/>
        <w:topLinePunct w:val="0"/>
        <w:autoSpaceDE/>
        <w:autoSpaceDN/>
        <w:bidi w:val="0"/>
        <w:adjustRightInd/>
        <w:snapToGrid/>
        <w:spacing w:after="0" w:line="480" w:lineRule="exact"/>
        <w:ind w:left="0" w:lef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highlight w:val="none"/>
          <w:lang w:val="en-US" w:eastAsia="zh-CN"/>
        </w:rPr>
        <w:t xml:space="preserve">1.2 </w:t>
      </w:r>
      <w:r>
        <w:rPr>
          <w:rFonts w:hint="eastAsia" w:ascii="仿宋" w:hAnsi="仿宋" w:eastAsia="仿宋" w:cs="仿宋"/>
          <w:color w:val="auto"/>
          <w:kern w:val="2"/>
          <w:sz w:val="24"/>
          <w:szCs w:val="24"/>
          <w:lang w:val="en-US" w:eastAsia="zh-CN" w:bidi="ar-SA"/>
        </w:rPr>
        <w:t>维保服务类型：设备整机及软件系统全保服务。</w:t>
      </w:r>
    </w:p>
    <w:p w14:paraId="6F0CFB61">
      <w:pPr>
        <w:keepNext w:val="0"/>
        <w:keepLines w:val="0"/>
        <w:pageBreakBefore w:val="0"/>
        <w:widowControl w:val="0"/>
        <w:kinsoku/>
        <w:wordWrap/>
        <w:overflowPunct/>
        <w:topLinePunct w:val="0"/>
        <w:autoSpaceDN/>
        <w:bidi w:val="0"/>
        <w:adjustRightInd/>
        <w:snapToGrid/>
        <w:spacing w:line="480" w:lineRule="exact"/>
        <w:ind w:lef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1.3 </w:t>
      </w:r>
      <w:r>
        <w:rPr>
          <w:rFonts w:hint="eastAsia" w:ascii="仿宋" w:hAnsi="仿宋" w:eastAsia="仿宋" w:cs="仿宋"/>
          <w:color w:val="auto"/>
          <w:kern w:val="2"/>
          <w:sz w:val="24"/>
          <w:szCs w:val="24"/>
          <w:lang w:val="en-US" w:eastAsia="zh-CN" w:bidi="ar-SA"/>
        </w:rPr>
        <w:t>维保服务范围：</w:t>
      </w:r>
    </w:p>
    <w:p w14:paraId="79A02A3A">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1.3.1 保养维护：乙方为甲方提供定期保养计划，定期进行维护与保养（每年至少不低于4次）定期保养包括机器清洁、性能测试及校准、必要的机械或电气的检查、非紧急性质的补救性维护和确保系统能按照制造商的产品规格运行的其他维护。</w:t>
      </w:r>
    </w:p>
    <w:p w14:paraId="37531371">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80" w:lineRule="exact"/>
        <w:ind w:left="0" w:leftChars="0" w:right="0" w:firstLine="480" w:firstLineChars="200"/>
        <w:jc w:val="both"/>
        <w:textAlignment w:val="auto"/>
        <w:rPr>
          <w:rFonts w:hint="eastAsia" w:ascii="仿宋" w:hAnsi="仿宋" w:eastAsia="仿宋" w:cs="仿宋"/>
          <w:bCs/>
          <w:color w:val="auto"/>
          <w:sz w:val="24"/>
          <w:szCs w:val="24"/>
          <w:lang w:val="en-US" w:eastAsia="zh-CN"/>
        </w:rPr>
      </w:pPr>
      <w:r>
        <w:rPr>
          <w:rFonts w:hint="eastAsia" w:ascii="仿宋" w:hAnsi="仿宋" w:eastAsia="仿宋" w:cs="仿宋"/>
          <w:color w:val="auto"/>
          <w:sz w:val="24"/>
          <w:szCs w:val="24"/>
          <w:lang w:val="en-US" w:eastAsia="zh-CN"/>
        </w:rPr>
        <w:t>1.3.2</w:t>
      </w:r>
      <w:r>
        <w:rPr>
          <w:rFonts w:hint="eastAsia" w:ascii="仿宋" w:hAnsi="仿宋" w:eastAsia="仿宋" w:cs="仿宋"/>
          <w:color w:val="auto"/>
          <w:sz w:val="24"/>
          <w:szCs w:val="24"/>
        </w:rPr>
        <w:t xml:space="preserve"> </w:t>
      </w:r>
      <w:r>
        <w:rPr>
          <w:rFonts w:hint="eastAsia" w:ascii="仿宋" w:hAnsi="仿宋" w:eastAsia="仿宋" w:cs="仿宋"/>
          <w:bCs/>
          <w:color w:val="auto"/>
          <w:sz w:val="24"/>
          <w:szCs w:val="24"/>
          <w:lang w:val="en-US" w:eastAsia="zh-CN"/>
        </w:rPr>
        <w:t>维修服务：维保设备发生的全部故障及所有配件、易耗品、耗材更换均属乙方保修服务范围。</w:t>
      </w:r>
    </w:p>
    <w:p w14:paraId="4F4747A5">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80" w:lineRule="exact"/>
        <w:ind w:left="0" w:leftChars="0" w:right="0" w:firstLine="480" w:firstLineChars="200"/>
        <w:jc w:val="both"/>
        <w:textAlignment w:val="auto"/>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t>1.3.3 维保服务期限内，乙方应为本合同设备相关软件提供最新软件版本的免费升级服务和维护服务。</w:t>
      </w:r>
    </w:p>
    <w:p w14:paraId="3E2B347B">
      <w:pPr>
        <w:keepNext w:val="0"/>
        <w:keepLines w:val="0"/>
        <w:pageBreakBefore w:val="0"/>
        <w:widowControl w:val="0"/>
        <w:kinsoku/>
        <w:wordWrap/>
        <w:overflowPunct/>
        <w:topLinePunct w:val="0"/>
        <w:autoSpaceDN/>
        <w:bidi w:val="0"/>
        <w:adjustRightInd/>
        <w:snapToGrid/>
        <w:spacing w:line="48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1.3.4 </w:t>
      </w:r>
      <w:r>
        <w:rPr>
          <w:rFonts w:hint="eastAsia" w:ascii="仿宋" w:hAnsi="仿宋" w:eastAsia="仿宋" w:cs="仿宋"/>
          <w:color w:val="auto"/>
          <w:sz w:val="24"/>
          <w:szCs w:val="24"/>
        </w:rPr>
        <w:t>保养完成后，</w:t>
      </w:r>
      <w:r>
        <w:rPr>
          <w:rFonts w:hint="eastAsia" w:ascii="仿宋" w:hAnsi="仿宋" w:eastAsia="仿宋" w:cs="仿宋"/>
          <w:color w:val="auto"/>
          <w:sz w:val="24"/>
          <w:szCs w:val="24"/>
          <w:lang w:val="en-US" w:eastAsia="zh-CN"/>
        </w:rPr>
        <w:t>乙方</w:t>
      </w:r>
      <w:r>
        <w:rPr>
          <w:rFonts w:hint="eastAsia" w:ascii="仿宋" w:hAnsi="仿宋" w:eastAsia="仿宋" w:cs="仿宋"/>
          <w:color w:val="auto"/>
          <w:sz w:val="24"/>
          <w:szCs w:val="24"/>
        </w:rPr>
        <w:t>需做好保养报告的记录，经</w:t>
      </w:r>
      <w:r>
        <w:rPr>
          <w:rFonts w:hint="eastAsia" w:ascii="仿宋" w:hAnsi="仿宋" w:eastAsia="仿宋" w:cs="仿宋"/>
          <w:color w:val="auto"/>
          <w:sz w:val="24"/>
          <w:szCs w:val="24"/>
          <w:lang w:val="en-US" w:eastAsia="zh-CN"/>
        </w:rPr>
        <w:t>甲方</w:t>
      </w:r>
      <w:r>
        <w:rPr>
          <w:rFonts w:hint="eastAsia" w:ascii="仿宋" w:hAnsi="仿宋" w:eastAsia="仿宋" w:cs="仿宋"/>
          <w:color w:val="auto"/>
          <w:sz w:val="24"/>
          <w:szCs w:val="24"/>
        </w:rPr>
        <w:t>进行签字验收后，定期向</w:t>
      </w:r>
      <w:r>
        <w:rPr>
          <w:rFonts w:hint="eastAsia" w:ascii="仿宋" w:hAnsi="仿宋" w:eastAsia="仿宋" w:cs="仿宋"/>
          <w:color w:val="auto"/>
          <w:sz w:val="24"/>
          <w:szCs w:val="24"/>
          <w:lang w:val="en-US" w:eastAsia="zh-CN"/>
        </w:rPr>
        <w:t>甲方</w:t>
      </w:r>
      <w:r>
        <w:rPr>
          <w:rFonts w:hint="eastAsia" w:ascii="仿宋" w:hAnsi="仿宋" w:eastAsia="仿宋" w:cs="仿宋"/>
          <w:color w:val="auto"/>
          <w:sz w:val="24"/>
          <w:szCs w:val="24"/>
        </w:rPr>
        <w:t>设备</w:t>
      </w:r>
      <w:r>
        <w:rPr>
          <w:rFonts w:hint="eastAsia" w:ascii="仿宋" w:hAnsi="仿宋" w:eastAsia="仿宋" w:cs="仿宋"/>
          <w:color w:val="auto"/>
          <w:sz w:val="24"/>
          <w:szCs w:val="24"/>
          <w:lang w:val="en-US" w:eastAsia="zh-CN"/>
        </w:rPr>
        <w:t>维修</w:t>
      </w:r>
      <w:r>
        <w:rPr>
          <w:rFonts w:hint="eastAsia" w:ascii="仿宋" w:hAnsi="仿宋" w:eastAsia="仿宋" w:cs="仿宋"/>
          <w:color w:val="auto"/>
          <w:sz w:val="24"/>
          <w:szCs w:val="24"/>
        </w:rPr>
        <w:t>科进行资料移交作存档及结算处理。</w:t>
      </w:r>
    </w:p>
    <w:p w14:paraId="2D786700">
      <w:pPr>
        <w:pStyle w:val="10"/>
        <w:keepNext w:val="0"/>
        <w:keepLines w:val="0"/>
        <w:pageBreakBefore w:val="0"/>
        <w:widowControl w:val="0"/>
        <w:kinsoku/>
        <w:wordWrap/>
        <w:overflowPunct/>
        <w:topLinePunct w:val="0"/>
        <w:autoSpaceDE/>
        <w:autoSpaceDN/>
        <w:bidi w:val="0"/>
        <w:adjustRightInd/>
        <w:snapToGrid/>
        <w:spacing w:after="0" w:line="480" w:lineRule="exact"/>
        <w:ind w:left="0" w:leftChars="0" w:firstLine="480" w:firstLineChars="200"/>
        <w:textAlignment w:val="auto"/>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lang w:eastAsia="zh-CN"/>
        </w:rPr>
        <w:t>1.4</w:t>
      </w:r>
      <w:r>
        <w:rPr>
          <w:rFonts w:hint="eastAsia" w:ascii="仿宋" w:hAnsi="仿宋" w:eastAsia="仿宋" w:cs="仿宋"/>
          <w:color w:val="auto"/>
          <w:kern w:val="0"/>
          <w:sz w:val="24"/>
          <w:szCs w:val="24"/>
          <w:lang w:val="en-US" w:eastAsia="zh-CN"/>
        </w:rPr>
        <w:t xml:space="preserve"> </w:t>
      </w:r>
      <w:r>
        <w:rPr>
          <w:rFonts w:hint="eastAsia" w:ascii="仿宋" w:hAnsi="仿宋" w:eastAsia="仿宋" w:cs="仿宋"/>
          <w:color w:val="auto"/>
          <w:kern w:val="0"/>
          <w:sz w:val="24"/>
          <w:szCs w:val="24"/>
          <w:lang w:eastAsia="zh-CN"/>
        </w:rPr>
        <w:t>服务要求：</w:t>
      </w:r>
    </w:p>
    <w:p w14:paraId="6BEA0496">
      <w:pPr>
        <w:pStyle w:val="10"/>
        <w:keepNext w:val="0"/>
        <w:keepLines w:val="0"/>
        <w:pageBreakBefore w:val="0"/>
        <w:widowControl w:val="0"/>
        <w:kinsoku/>
        <w:wordWrap/>
        <w:overflowPunct/>
        <w:topLinePunct w:val="0"/>
        <w:autoSpaceDE/>
        <w:autoSpaceDN/>
        <w:bidi w:val="0"/>
        <w:adjustRightInd/>
        <w:snapToGrid/>
        <w:spacing w:after="0" w:line="480" w:lineRule="exact"/>
        <w:ind w:left="0" w:leftChars="0" w:firstLine="480" w:firstLineChars="200"/>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1.4.1 整体要求：</w:t>
      </w:r>
    </w:p>
    <w:p w14:paraId="73B17FFB">
      <w:pPr>
        <w:pStyle w:val="10"/>
        <w:keepNext w:val="0"/>
        <w:keepLines w:val="0"/>
        <w:pageBreakBefore w:val="0"/>
        <w:widowControl w:val="0"/>
        <w:kinsoku/>
        <w:wordWrap/>
        <w:overflowPunct/>
        <w:topLinePunct w:val="0"/>
        <w:autoSpaceDE/>
        <w:autoSpaceDN/>
        <w:bidi w:val="0"/>
        <w:adjustRightInd/>
        <w:snapToGrid/>
        <w:spacing w:after="0" w:line="480" w:lineRule="exact"/>
        <w:ind w:left="0" w:leftChars="0" w:firstLine="480" w:firstLineChars="200"/>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1.4.1.1 确保服务期内每台设备总开机率均达95%及以上，按照365天/年、24小时/天计算，即正常开机应达到347天/年及以上，正常开机每少1天则本合同服务期限自动免费延长5天。</w:t>
      </w:r>
    </w:p>
    <w:p w14:paraId="349FB8F6">
      <w:pPr>
        <w:pStyle w:val="10"/>
        <w:keepNext w:val="0"/>
        <w:keepLines w:val="0"/>
        <w:pageBreakBefore w:val="0"/>
        <w:widowControl w:val="0"/>
        <w:kinsoku/>
        <w:wordWrap/>
        <w:overflowPunct/>
        <w:topLinePunct w:val="0"/>
        <w:autoSpaceDE/>
        <w:autoSpaceDN/>
        <w:bidi w:val="0"/>
        <w:adjustRightInd/>
        <w:snapToGrid/>
        <w:spacing w:after="0" w:line="480" w:lineRule="exact"/>
        <w:ind w:left="0" w:leftChars="0" w:firstLine="480" w:firstLineChars="200"/>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1.4.1.2 开机率的界定以每台设备在协议期开机累计天数除以服务期天数。如乙方在</w:t>
      </w:r>
      <w:r>
        <w:rPr>
          <w:rFonts w:hint="eastAsia" w:ascii="仿宋" w:hAnsi="仿宋" w:eastAsia="仿宋" w:cs="仿宋"/>
          <w:color w:val="auto"/>
          <w:kern w:val="0"/>
          <w:sz w:val="24"/>
          <w:szCs w:val="24"/>
          <w:highlight w:val="none"/>
          <w:lang w:val="en-US" w:eastAsia="zh-CN"/>
        </w:rPr>
        <w:t>甲方报修后3日</w:t>
      </w:r>
      <w:r>
        <w:rPr>
          <w:rFonts w:hint="eastAsia" w:ascii="仿宋" w:hAnsi="仿宋" w:eastAsia="仿宋" w:cs="仿宋"/>
          <w:color w:val="auto"/>
          <w:kern w:val="0"/>
          <w:sz w:val="24"/>
          <w:szCs w:val="24"/>
          <w:lang w:val="en-US" w:eastAsia="zh-CN"/>
        </w:rPr>
        <w:t>内提供了备品并正常使用，则期间不计停机天数。如因乙方原因导致甲方设备带病运行，期间运行天数按50%计算停机天数。</w:t>
      </w:r>
    </w:p>
    <w:p w14:paraId="5E89776D">
      <w:pPr>
        <w:pStyle w:val="10"/>
        <w:keepNext w:val="0"/>
        <w:keepLines w:val="0"/>
        <w:pageBreakBefore w:val="0"/>
        <w:widowControl w:val="0"/>
        <w:kinsoku/>
        <w:wordWrap/>
        <w:overflowPunct/>
        <w:topLinePunct w:val="0"/>
        <w:autoSpaceDE/>
        <w:autoSpaceDN/>
        <w:bidi w:val="0"/>
        <w:adjustRightInd/>
        <w:snapToGrid/>
        <w:spacing w:after="0" w:line="480" w:lineRule="exact"/>
        <w:ind w:left="0" w:leftChars="0" w:firstLine="480" w:firstLineChars="200"/>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1.4.2 保养维护要求：</w:t>
      </w:r>
    </w:p>
    <w:p w14:paraId="6EB50F93">
      <w:pPr>
        <w:pStyle w:val="10"/>
        <w:keepNext w:val="0"/>
        <w:keepLines w:val="0"/>
        <w:pageBreakBefore w:val="0"/>
        <w:widowControl w:val="0"/>
        <w:kinsoku/>
        <w:wordWrap/>
        <w:overflowPunct/>
        <w:topLinePunct w:val="0"/>
        <w:autoSpaceDE/>
        <w:autoSpaceDN/>
        <w:bidi w:val="0"/>
        <w:adjustRightInd/>
        <w:snapToGrid/>
        <w:spacing w:after="0" w:line="480" w:lineRule="exact"/>
        <w:ind w:left="0" w:leftChars="0" w:firstLine="480" w:firstLineChars="200"/>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1.4.2.1 定期保养维护每年不少于4次，每季度不少于1次，每次保养必须更换干燥剂等常规易耗品。</w:t>
      </w:r>
    </w:p>
    <w:p w14:paraId="598948E8">
      <w:pPr>
        <w:keepNext w:val="0"/>
        <w:keepLines w:val="0"/>
        <w:pageBreakBefore w:val="0"/>
        <w:widowControl w:val="0"/>
        <w:kinsoku/>
        <w:wordWrap/>
        <w:overflowPunct/>
        <w:topLinePunct w:val="0"/>
        <w:autoSpaceDN/>
        <w:bidi w:val="0"/>
        <w:adjustRightInd/>
        <w:snapToGrid/>
        <w:spacing w:line="480" w:lineRule="exact"/>
        <w:ind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rPr>
        <w:t>1.4.2.2 每次维护作业后，填写详细维护记录，如实反映设备运行状况，并由甲方签字确认并留存甲方存档，同时乙方需在甲方电子记录单上登记备案。</w:t>
      </w:r>
      <w:r>
        <w:rPr>
          <w:rFonts w:hint="eastAsia" w:ascii="仿宋" w:hAnsi="仿宋" w:eastAsia="仿宋" w:cs="仿宋"/>
          <w:color w:val="auto"/>
          <w:sz w:val="24"/>
          <w:szCs w:val="24"/>
        </w:rPr>
        <w:t>每年度提供设备运行分析报告，经</w:t>
      </w:r>
      <w:r>
        <w:rPr>
          <w:rFonts w:hint="eastAsia" w:ascii="仿宋" w:hAnsi="仿宋" w:eastAsia="仿宋" w:cs="仿宋"/>
          <w:color w:val="auto"/>
          <w:sz w:val="24"/>
          <w:szCs w:val="24"/>
          <w:lang w:val="en-US" w:eastAsia="zh-CN"/>
        </w:rPr>
        <w:t>甲方</w:t>
      </w:r>
      <w:r>
        <w:rPr>
          <w:rFonts w:hint="eastAsia" w:ascii="仿宋" w:hAnsi="仿宋" w:eastAsia="仿宋" w:cs="仿宋"/>
          <w:color w:val="auto"/>
          <w:sz w:val="24"/>
          <w:szCs w:val="24"/>
        </w:rPr>
        <w:t>签字验收后作为结算依据。</w:t>
      </w:r>
    </w:p>
    <w:p w14:paraId="128566AC">
      <w:pPr>
        <w:pStyle w:val="10"/>
        <w:keepNext w:val="0"/>
        <w:keepLines w:val="0"/>
        <w:pageBreakBefore w:val="0"/>
        <w:widowControl w:val="0"/>
        <w:kinsoku/>
        <w:wordWrap/>
        <w:overflowPunct/>
        <w:topLinePunct w:val="0"/>
        <w:autoSpaceDE/>
        <w:autoSpaceDN/>
        <w:bidi w:val="0"/>
        <w:adjustRightInd/>
        <w:snapToGrid/>
        <w:spacing w:after="0" w:line="480" w:lineRule="exact"/>
        <w:ind w:left="0" w:leftChars="0" w:firstLine="480" w:firstLineChars="200"/>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1.4.2.3 维护作业中若发现有故障隐患，应及时通知甲方并维修排除。</w:t>
      </w:r>
    </w:p>
    <w:p w14:paraId="38D5BF44">
      <w:pPr>
        <w:pStyle w:val="10"/>
        <w:keepNext w:val="0"/>
        <w:keepLines w:val="0"/>
        <w:pageBreakBefore w:val="0"/>
        <w:widowControl w:val="0"/>
        <w:kinsoku/>
        <w:wordWrap/>
        <w:overflowPunct/>
        <w:topLinePunct w:val="0"/>
        <w:autoSpaceDE/>
        <w:autoSpaceDN/>
        <w:bidi w:val="0"/>
        <w:adjustRightInd/>
        <w:snapToGrid/>
        <w:spacing w:after="0" w:line="480" w:lineRule="exact"/>
        <w:ind w:left="0" w:lef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bCs/>
          <w:color w:val="auto"/>
          <w:sz w:val="24"/>
          <w:szCs w:val="24"/>
          <w:lang w:val="en-US" w:eastAsia="zh-CN"/>
        </w:rPr>
        <w:t>1.4.3 维修服务要求：</w:t>
      </w:r>
    </w:p>
    <w:p w14:paraId="3DE2FD5D">
      <w:pPr>
        <w:pStyle w:val="10"/>
        <w:keepNext w:val="0"/>
        <w:keepLines w:val="0"/>
        <w:pageBreakBefore w:val="0"/>
        <w:widowControl w:val="0"/>
        <w:kinsoku/>
        <w:wordWrap/>
        <w:overflowPunct/>
        <w:topLinePunct w:val="0"/>
        <w:autoSpaceDE/>
        <w:autoSpaceDN/>
        <w:bidi w:val="0"/>
        <w:adjustRightInd/>
        <w:snapToGrid/>
        <w:spacing w:after="0" w:line="480" w:lineRule="exact"/>
        <w:ind w:left="0" w:leftChars="0" w:firstLine="480" w:firstLineChars="200"/>
        <w:textAlignment w:val="auto"/>
        <w:rPr>
          <w:rFonts w:hint="eastAsia" w:ascii="仿宋" w:hAnsi="仿宋" w:eastAsia="仿宋" w:cs="仿宋"/>
          <w:color w:val="auto"/>
          <w:kern w:val="2"/>
          <w:sz w:val="24"/>
          <w:szCs w:val="24"/>
          <w:lang w:val="en-US" w:eastAsia="zh-CN" w:bidi="ar"/>
        </w:rPr>
      </w:pPr>
      <w:r>
        <w:rPr>
          <w:rFonts w:hint="eastAsia" w:ascii="仿宋" w:hAnsi="仿宋" w:eastAsia="仿宋" w:cs="仿宋"/>
          <w:bCs/>
          <w:color w:val="auto"/>
          <w:sz w:val="24"/>
          <w:szCs w:val="24"/>
          <w:lang w:val="en-US" w:eastAsia="zh-CN"/>
        </w:rPr>
        <w:t xml:space="preserve">1.4.3.1 </w:t>
      </w:r>
      <w:r>
        <w:rPr>
          <w:rFonts w:hint="eastAsia" w:ascii="仿宋" w:hAnsi="仿宋" w:eastAsia="仿宋" w:cs="仿宋"/>
          <w:color w:val="auto"/>
          <w:kern w:val="2"/>
          <w:sz w:val="24"/>
          <w:szCs w:val="24"/>
          <w:lang w:val="en-US" w:eastAsia="zh-CN" w:bidi="ar"/>
        </w:rPr>
        <w:t>维保服务方式及要求：现场服务、远程技术服务及零备件更换。</w:t>
      </w:r>
    </w:p>
    <w:p w14:paraId="33B16E2F">
      <w:pPr>
        <w:pStyle w:val="10"/>
        <w:keepNext w:val="0"/>
        <w:keepLines w:val="0"/>
        <w:pageBreakBefore w:val="0"/>
        <w:widowControl w:val="0"/>
        <w:kinsoku/>
        <w:wordWrap/>
        <w:overflowPunct/>
        <w:topLinePunct w:val="0"/>
        <w:autoSpaceDE/>
        <w:autoSpaceDN/>
        <w:bidi w:val="0"/>
        <w:adjustRightInd/>
        <w:snapToGrid/>
        <w:spacing w:after="0" w:line="480" w:lineRule="exact"/>
        <w:ind w:left="0" w:leftChars="0" w:firstLine="480" w:firstLineChars="200"/>
        <w:textAlignment w:val="auto"/>
        <w:rPr>
          <w:rFonts w:hint="eastAsia" w:ascii="仿宋" w:hAnsi="仿宋" w:eastAsia="仿宋" w:cs="仿宋"/>
          <w:color w:val="auto"/>
          <w:kern w:val="2"/>
          <w:sz w:val="24"/>
          <w:szCs w:val="24"/>
          <w:lang w:val="en-US" w:eastAsia="zh-CN" w:bidi="ar"/>
        </w:rPr>
      </w:pPr>
      <w:r>
        <w:rPr>
          <w:rFonts w:hint="eastAsia" w:ascii="仿宋" w:hAnsi="仿宋" w:eastAsia="仿宋" w:cs="仿宋"/>
          <w:bCs/>
          <w:color w:val="auto"/>
          <w:sz w:val="24"/>
          <w:szCs w:val="24"/>
          <w:lang w:val="en-US" w:eastAsia="zh-CN"/>
        </w:rPr>
        <w:t xml:space="preserve">1.4.3.1.1 </w:t>
      </w:r>
      <w:r>
        <w:rPr>
          <w:rFonts w:hint="eastAsia" w:ascii="仿宋" w:hAnsi="仿宋" w:eastAsia="仿宋" w:cs="仿宋"/>
          <w:color w:val="auto"/>
          <w:kern w:val="2"/>
          <w:sz w:val="24"/>
          <w:szCs w:val="24"/>
          <w:lang w:val="en-US" w:eastAsia="zh-CN" w:bidi="ar"/>
        </w:rPr>
        <w:t>乙方每年为甲方提供365天</w:t>
      </w:r>
      <w:r>
        <w:rPr>
          <w:rFonts w:hint="eastAsia" w:ascii="仿宋" w:hAnsi="仿宋" w:eastAsia="仿宋" w:cs="仿宋"/>
          <w:color w:val="auto"/>
          <w:kern w:val="2"/>
          <w:sz w:val="24"/>
          <w:szCs w:val="24"/>
          <w:lang w:val="en-US" w:eastAsia="zh-CN" w:bidi="ar-SA"/>
        </w:rPr>
        <w:t>×24</w:t>
      </w:r>
      <w:r>
        <w:rPr>
          <w:rFonts w:hint="eastAsia" w:ascii="仿宋" w:hAnsi="仿宋" w:eastAsia="仿宋" w:cs="仿宋"/>
          <w:color w:val="auto"/>
          <w:kern w:val="2"/>
          <w:sz w:val="24"/>
          <w:szCs w:val="24"/>
          <w:lang w:val="en-US" w:eastAsia="zh-CN" w:bidi="ar"/>
        </w:rPr>
        <w:t>小时（不受节假日影响）的免费远程</w:t>
      </w:r>
      <w:r>
        <w:rPr>
          <w:rFonts w:hint="eastAsia" w:ascii="仿宋" w:hAnsi="仿宋" w:eastAsia="仿宋" w:cs="仿宋"/>
          <w:color w:val="auto"/>
          <w:sz w:val="24"/>
          <w:szCs w:val="24"/>
          <w:lang w:val="en-US" w:eastAsia="zh-CN"/>
        </w:rPr>
        <w:t>（电话、微信等互联网远程支持）</w:t>
      </w:r>
      <w:r>
        <w:rPr>
          <w:rFonts w:hint="eastAsia" w:ascii="仿宋" w:hAnsi="仿宋" w:eastAsia="仿宋" w:cs="仿宋"/>
          <w:color w:val="auto"/>
          <w:kern w:val="2"/>
          <w:sz w:val="24"/>
          <w:szCs w:val="24"/>
          <w:lang w:val="en-US" w:eastAsia="zh-CN" w:bidi="ar"/>
        </w:rPr>
        <w:t>技术服务，乙方指定</w:t>
      </w:r>
      <w:r>
        <w:rPr>
          <w:rFonts w:hint="eastAsia" w:ascii="仿宋" w:hAnsi="仿宋" w:eastAsia="仿宋" w:cs="仿宋"/>
          <w:color w:val="auto"/>
          <w:kern w:val="2"/>
          <w:sz w:val="24"/>
          <w:szCs w:val="24"/>
          <w:u w:val="single"/>
          <w:lang w:val="en-US" w:eastAsia="zh-CN" w:bidi="ar"/>
        </w:rPr>
        <w:t xml:space="preserve">       </w:t>
      </w:r>
      <w:r>
        <w:rPr>
          <w:rFonts w:hint="eastAsia" w:ascii="仿宋" w:hAnsi="仿宋" w:eastAsia="仿宋" w:cs="仿宋"/>
          <w:color w:val="auto"/>
          <w:kern w:val="2"/>
          <w:sz w:val="24"/>
          <w:szCs w:val="24"/>
          <w:u w:val="none"/>
          <w:lang w:val="en-US" w:eastAsia="zh-CN" w:bidi="ar"/>
        </w:rPr>
        <w:t>（</w:t>
      </w:r>
      <w:r>
        <w:rPr>
          <w:rFonts w:hint="eastAsia" w:ascii="仿宋" w:hAnsi="仿宋" w:eastAsia="仿宋" w:cs="仿宋"/>
          <w:color w:val="auto"/>
          <w:kern w:val="2"/>
          <w:sz w:val="24"/>
          <w:szCs w:val="24"/>
          <w:lang w:val="en-US" w:eastAsia="zh-CN" w:bidi="ar"/>
        </w:rPr>
        <w:t>联系电话</w:t>
      </w:r>
      <w:r>
        <w:rPr>
          <w:rFonts w:hint="eastAsia" w:ascii="仿宋" w:hAnsi="仿宋" w:eastAsia="仿宋" w:cs="仿宋"/>
          <w:color w:val="auto"/>
          <w:kern w:val="2"/>
          <w:sz w:val="24"/>
          <w:szCs w:val="24"/>
          <w:u w:val="single"/>
          <w:lang w:val="en-US" w:eastAsia="zh-CN" w:bidi="ar"/>
        </w:rPr>
        <w:t xml:space="preserve">       </w:t>
      </w:r>
      <w:r>
        <w:rPr>
          <w:rFonts w:hint="eastAsia" w:ascii="仿宋" w:hAnsi="仿宋" w:eastAsia="仿宋" w:cs="仿宋"/>
          <w:color w:val="auto"/>
          <w:kern w:val="2"/>
          <w:sz w:val="24"/>
          <w:szCs w:val="24"/>
          <w:u w:val="none"/>
          <w:lang w:val="en-US" w:eastAsia="zh-CN" w:bidi="ar"/>
        </w:rPr>
        <w:t>，微信号</w:t>
      </w:r>
      <w:r>
        <w:rPr>
          <w:rFonts w:hint="eastAsia" w:ascii="仿宋" w:hAnsi="仿宋" w:eastAsia="仿宋" w:cs="仿宋"/>
          <w:color w:val="auto"/>
          <w:kern w:val="2"/>
          <w:sz w:val="24"/>
          <w:szCs w:val="24"/>
          <w:u w:val="single"/>
          <w:lang w:val="en-US" w:eastAsia="zh-CN" w:bidi="ar"/>
        </w:rPr>
        <w:t xml:space="preserve">         </w:t>
      </w:r>
      <w:r>
        <w:rPr>
          <w:rFonts w:hint="eastAsia" w:ascii="仿宋" w:hAnsi="仿宋" w:eastAsia="仿宋" w:cs="仿宋"/>
          <w:color w:val="auto"/>
          <w:kern w:val="2"/>
          <w:sz w:val="24"/>
          <w:szCs w:val="24"/>
          <w:u w:val="none"/>
          <w:lang w:val="en-US" w:eastAsia="zh-CN" w:bidi="ar"/>
        </w:rPr>
        <w:t>）</w:t>
      </w:r>
      <w:r>
        <w:rPr>
          <w:rFonts w:hint="eastAsia" w:ascii="仿宋" w:hAnsi="仿宋" w:eastAsia="仿宋" w:cs="仿宋"/>
          <w:color w:val="auto"/>
          <w:kern w:val="2"/>
          <w:sz w:val="24"/>
          <w:szCs w:val="24"/>
          <w:lang w:val="en-US" w:eastAsia="zh-CN" w:bidi="ar"/>
        </w:rPr>
        <w:t>专门负责与甲方联系维修服务。</w:t>
      </w:r>
    </w:p>
    <w:p w14:paraId="26CCD30C">
      <w:pPr>
        <w:pStyle w:val="10"/>
        <w:keepNext w:val="0"/>
        <w:keepLines w:val="0"/>
        <w:pageBreakBefore w:val="0"/>
        <w:widowControl w:val="0"/>
        <w:kinsoku/>
        <w:wordWrap/>
        <w:overflowPunct/>
        <w:topLinePunct w:val="0"/>
        <w:autoSpaceDE/>
        <w:autoSpaceDN/>
        <w:bidi w:val="0"/>
        <w:adjustRightInd/>
        <w:snapToGrid/>
        <w:spacing w:after="0" w:line="480" w:lineRule="exact"/>
        <w:ind w:left="0" w:leftChars="0" w:firstLine="480" w:firstLineChars="200"/>
        <w:textAlignment w:val="auto"/>
        <w:rPr>
          <w:rFonts w:hint="eastAsia" w:ascii="仿宋" w:hAnsi="仿宋" w:eastAsia="仿宋" w:cs="仿宋"/>
          <w:color w:val="auto"/>
          <w:kern w:val="0"/>
          <w:sz w:val="24"/>
          <w:szCs w:val="24"/>
          <w:u w:val="none"/>
          <w:lang w:eastAsia="zh-CN"/>
        </w:rPr>
      </w:pPr>
      <w:r>
        <w:rPr>
          <w:rFonts w:hint="eastAsia" w:ascii="仿宋" w:hAnsi="仿宋" w:eastAsia="仿宋" w:cs="仿宋"/>
          <w:bCs/>
          <w:color w:val="auto"/>
          <w:sz w:val="24"/>
          <w:szCs w:val="24"/>
          <w:lang w:val="en-US" w:eastAsia="zh-CN"/>
        </w:rPr>
        <w:t xml:space="preserve">1.4.3.1.2 </w:t>
      </w:r>
      <w:r>
        <w:rPr>
          <w:rFonts w:hint="eastAsia" w:ascii="仿宋" w:hAnsi="仿宋" w:eastAsia="仿宋" w:cs="仿宋"/>
          <w:color w:val="auto"/>
          <w:kern w:val="2"/>
          <w:sz w:val="24"/>
          <w:szCs w:val="24"/>
          <w:lang w:val="en-US" w:eastAsia="zh-CN" w:bidi="ar"/>
        </w:rPr>
        <w:t>如通过远程无法解决时，乙方应为甲方提供现场服务。</w:t>
      </w:r>
      <w:r>
        <w:rPr>
          <w:rFonts w:hint="eastAsia" w:ascii="仿宋" w:hAnsi="仿宋" w:eastAsia="仿宋" w:cs="仿宋"/>
          <w:color w:val="auto"/>
          <w:kern w:val="0"/>
          <w:sz w:val="24"/>
          <w:szCs w:val="24"/>
          <w:u w:val="none"/>
          <w:lang w:eastAsia="zh-CN"/>
        </w:rPr>
        <w:t>紧急维护，乙方</w:t>
      </w:r>
      <w:r>
        <w:rPr>
          <w:rFonts w:hint="eastAsia" w:ascii="仿宋" w:hAnsi="仿宋" w:eastAsia="仿宋" w:cs="仿宋"/>
          <w:color w:val="auto"/>
          <w:kern w:val="0"/>
          <w:sz w:val="24"/>
          <w:szCs w:val="24"/>
          <w:u w:val="none"/>
          <w:lang w:val="en-US" w:eastAsia="zh-CN"/>
        </w:rPr>
        <w:t>应在接在甲方通知（包括</w:t>
      </w:r>
      <w:r>
        <w:rPr>
          <w:rFonts w:hint="eastAsia" w:ascii="仿宋" w:hAnsi="仿宋" w:eastAsia="仿宋" w:cs="仿宋"/>
          <w:color w:val="auto"/>
          <w:kern w:val="0"/>
          <w:sz w:val="24"/>
          <w:szCs w:val="24"/>
          <w:u w:val="none"/>
          <w:lang w:eastAsia="zh-CN"/>
        </w:rPr>
        <w:t>电话、</w:t>
      </w:r>
      <w:r>
        <w:rPr>
          <w:rFonts w:hint="eastAsia" w:ascii="仿宋" w:hAnsi="仿宋" w:eastAsia="仿宋" w:cs="仿宋"/>
          <w:color w:val="auto"/>
          <w:kern w:val="0"/>
          <w:sz w:val="24"/>
          <w:szCs w:val="24"/>
          <w:u w:val="none"/>
          <w:lang w:val="en-US" w:eastAsia="zh-CN"/>
        </w:rPr>
        <w:t>微信通知）时起</w:t>
      </w:r>
      <w:r>
        <w:rPr>
          <w:rFonts w:hint="eastAsia" w:ascii="仿宋" w:hAnsi="仿宋" w:eastAsia="仿宋" w:cs="仿宋"/>
          <w:color w:val="auto"/>
          <w:kern w:val="0"/>
          <w:sz w:val="24"/>
          <w:szCs w:val="24"/>
          <w:u w:val="none"/>
          <w:lang w:eastAsia="zh-CN"/>
        </w:rPr>
        <w:t>10分钟响应，</w:t>
      </w:r>
      <w:r>
        <w:rPr>
          <w:rFonts w:hint="eastAsia" w:ascii="仿宋" w:hAnsi="仿宋" w:eastAsia="仿宋" w:cs="仿宋"/>
          <w:color w:val="auto"/>
          <w:kern w:val="0"/>
          <w:sz w:val="24"/>
          <w:szCs w:val="24"/>
          <w:u w:val="none"/>
          <w:lang w:val="en-US" w:eastAsia="zh-CN"/>
        </w:rPr>
        <w:t>如通过远程无法解决，</w:t>
      </w:r>
      <w:r>
        <w:rPr>
          <w:rFonts w:hint="eastAsia" w:ascii="仿宋" w:hAnsi="仿宋" w:eastAsia="仿宋" w:cs="仿宋"/>
          <w:color w:val="auto"/>
          <w:kern w:val="0"/>
          <w:sz w:val="24"/>
          <w:szCs w:val="24"/>
          <w:u w:val="none"/>
          <w:lang w:eastAsia="zh-CN"/>
        </w:rPr>
        <w:t>一般故障必须在</w:t>
      </w:r>
      <w:r>
        <w:rPr>
          <w:rFonts w:hint="eastAsia" w:ascii="仿宋" w:hAnsi="仿宋" w:eastAsia="仿宋" w:cs="仿宋"/>
          <w:color w:val="auto"/>
          <w:kern w:val="0"/>
          <w:sz w:val="24"/>
          <w:szCs w:val="24"/>
          <w:u w:val="none"/>
          <w:lang w:val="en-US" w:eastAsia="zh-CN"/>
        </w:rPr>
        <w:t>接到甲方通知时起</w:t>
      </w:r>
      <w:r>
        <w:rPr>
          <w:rFonts w:hint="eastAsia" w:ascii="仿宋" w:hAnsi="仿宋" w:eastAsia="仿宋" w:cs="仿宋"/>
          <w:color w:val="auto"/>
          <w:kern w:val="0"/>
          <w:sz w:val="24"/>
          <w:szCs w:val="24"/>
          <w:u w:val="none"/>
          <w:lang w:eastAsia="zh-CN"/>
        </w:rPr>
        <w:t>5小时内派出技术人员到达现场解决问题</w:t>
      </w:r>
      <w:r>
        <w:rPr>
          <w:rFonts w:hint="eastAsia" w:ascii="仿宋" w:hAnsi="仿宋" w:eastAsia="仿宋" w:cs="仿宋"/>
          <w:color w:val="auto"/>
          <w:kern w:val="0"/>
          <w:sz w:val="24"/>
          <w:szCs w:val="24"/>
          <w:u w:val="none"/>
          <w:lang w:val="en-US" w:eastAsia="zh-CN"/>
        </w:rPr>
        <w:t>；</w:t>
      </w:r>
      <w:r>
        <w:rPr>
          <w:rFonts w:hint="eastAsia" w:ascii="仿宋" w:hAnsi="仿宋" w:eastAsia="仿宋" w:cs="仿宋"/>
          <w:color w:val="auto"/>
          <w:kern w:val="0"/>
          <w:sz w:val="24"/>
          <w:szCs w:val="24"/>
          <w:u w:val="none"/>
          <w:lang w:eastAsia="zh-CN"/>
        </w:rPr>
        <w:t>疑难故障必须在</w:t>
      </w:r>
      <w:r>
        <w:rPr>
          <w:rFonts w:hint="eastAsia" w:ascii="仿宋" w:hAnsi="仿宋" w:eastAsia="仿宋" w:cs="仿宋"/>
          <w:color w:val="auto"/>
          <w:kern w:val="0"/>
          <w:sz w:val="24"/>
          <w:szCs w:val="24"/>
          <w:u w:val="none"/>
          <w:lang w:val="en-US" w:eastAsia="zh-CN"/>
        </w:rPr>
        <w:t>接到甲方通知时起</w:t>
      </w:r>
      <w:r>
        <w:rPr>
          <w:rFonts w:hint="eastAsia" w:ascii="仿宋" w:hAnsi="仿宋" w:eastAsia="仿宋" w:cs="仿宋"/>
          <w:color w:val="auto"/>
          <w:kern w:val="0"/>
          <w:sz w:val="24"/>
          <w:szCs w:val="24"/>
          <w:u w:val="none"/>
          <w:lang w:eastAsia="zh-CN"/>
        </w:rPr>
        <w:t>24小时内解决。</w:t>
      </w:r>
      <w:r>
        <w:rPr>
          <w:rFonts w:hint="eastAsia" w:ascii="仿宋" w:hAnsi="仿宋" w:eastAsia="仿宋" w:cs="仿宋"/>
          <w:color w:val="auto"/>
          <w:kern w:val="0"/>
          <w:sz w:val="24"/>
          <w:szCs w:val="24"/>
          <w:u w:val="none"/>
          <w:lang w:val="en-US" w:eastAsia="zh-CN"/>
        </w:rPr>
        <w:t>如</w:t>
      </w:r>
      <w:r>
        <w:rPr>
          <w:rFonts w:hint="eastAsia" w:ascii="仿宋" w:hAnsi="仿宋" w:eastAsia="仿宋" w:cs="仿宋"/>
          <w:color w:val="auto"/>
          <w:kern w:val="2"/>
          <w:sz w:val="24"/>
          <w:szCs w:val="24"/>
          <w:u w:val="none"/>
          <w:lang w:val="en-US" w:eastAsia="zh-CN" w:bidi="ar-SA"/>
        </w:rPr>
        <w:t>需要大修在</w:t>
      </w:r>
      <w:r>
        <w:rPr>
          <w:rFonts w:hint="eastAsia" w:ascii="仿宋" w:hAnsi="仿宋" w:eastAsia="仿宋" w:cs="仿宋"/>
          <w:color w:val="auto"/>
          <w:kern w:val="0"/>
          <w:sz w:val="24"/>
          <w:szCs w:val="24"/>
          <w:u w:val="none"/>
          <w:lang w:val="en-US" w:eastAsia="zh-CN"/>
        </w:rPr>
        <w:t>24小时无法解决，</w:t>
      </w:r>
      <w:r>
        <w:rPr>
          <w:rFonts w:hint="eastAsia" w:ascii="仿宋" w:hAnsi="仿宋" w:eastAsia="仿宋" w:cs="仿宋"/>
          <w:color w:val="auto"/>
          <w:kern w:val="2"/>
          <w:sz w:val="24"/>
          <w:szCs w:val="24"/>
          <w:u w:val="none"/>
          <w:lang w:val="en-US" w:eastAsia="zh-CN" w:bidi="ar-SA"/>
        </w:rPr>
        <w:t>则应在接到甲方维修通知时起</w:t>
      </w:r>
      <w:r>
        <w:rPr>
          <w:rFonts w:hint="eastAsia" w:ascii="仿宋" w:hAnsi="仿宋" w:eastAsia="仿宋" w:cs="仿宋"/>
          <w:color w:val="auto"/>
          <w:kern w:val="0"/>
          <w:sz w:val="24"/>
          <w:szCs w:val="24"/>
          <w:highlight w:val="none"/>
          <w:lang w:val="en-US" w:eastAsia="zh-CN"/>
        </w:rPr>
        <w:t>3日内为</w:t>
      </w:r>
      <w:r>
        <w:rPr>
          <w:rFonts w:hint="eastAsia" w:ascii="仿宋" w:hAnsi="仿宋" w:eastAsia="仿宋" w:cs="仿宋"/>
          <w:color w:val="auto"/>
          <w:kern w:val="2"/>
          <w:sz w:val="24"/>
          <w:szCs w:val="24"/>
          <w:u w:val="none"/>
          <w:lang w:val="en-US" w:eastAsia="zh-CN" w:bidi="ar-SA"/>
        </w:rPr>
        <w:t>甲方提供同品质备用机，并在接到维修通知时起5天内完成维修（含在途时间）；如乙方未在前述时间内完成维修服务，甲方有权委托第三方完成，第三人维修产生的费用由乙方承担，且甲方有权从应付款项中扣除。</w:t>
      </w:r>
      <w:r>
        <w:rPr>
          <w:rFonts w:hint="eastAsia" w:ascii="仿宋" w:hAnsi="仿宋" w:eastAsia="仿宋" w:cs="仿宋"/>
          <w:color w:val="auto"/>
          <w:kern w:val="0"/>
          <w:sz w:val="24"/>
          <w:szCs w:val="24"/>
          <w:u w:val="none"/>
          <w:lang w:eastAsia="zh-CN"/>
        </w:rPr>
        <w:t>维修完成后，</w:t>
      </w:r>
      <w:r>
        <w:rPr>
          <w:rFonts w:hint="eastAsia" w:ascii="仿宋" w:hAnsi="仿宋" w:eastAsia="仿宋" w:cs="仿宋"/>
          <w:color w:val="auto"/>
          <w:kern w:val="0"/>
          <w:sz w:val="24"/>
          <w:szCs w:val="24"/>
          <w:u w:val="none"/>
          <w:lang w:val="en-US" w:eastAsia="zh-CN"/>
        </w:rPr>
        <w:t>乙方应</w:t>
      </w:r>
      <w:r>
        <w:rPr>
          <w:rFonts w:hint="eastAsia" w:ascii="仿宋" w:hAnsi="仿宋" w:eastAsia="仿宋" w:cs="仿宋"/>
          <w:color w:val="auto"/>
          <w:kern w:val="0"/>
          <w:sz w:val="24"/>
          <w:szCs w:val="24"/>
          <w:u w:val="none"/>
          <w:lang w:eastAsia="zh-CN"/>
        </w:rPr>
        <w:t>做好维修工单及保养报告的记录，</w:t>
      </w:r>
      <w:r>
        <w:rPr>
          <w:rFonts w:hint="eastAsia" w:ascii="仿宋" w:hAnsi="仿宋" w:eastAsia="仿宋" w:cs="仿宋"/>
          <w:color w:val="auto"/>
          <w:kern w:val="0"/>
          <w:sz w:val="24"/>
          <w:szCs w:val="24"/>
          <w:u w:val="none"/>
          <w:lang w:val="en-US" w:eastAsia="zh-CN"/>
        </w:rPr>
        <w:t>甲方</w:t>
      </w:r>
      <w:r>
        <w:rPr>
          <w:rFonts w:hint="eastAsia" w:ascii="仿宋" w:hAnsi="仿宋" w:eastAsia="仿宋" w:cs="仿宋"/>
          <w:color w:val="auto"/>
          <w:kern w:val="0"/>
          <w:sz w:val="24"/>
          <w:szCs w:val="24"/>
          <w:u w:val="none"/>
          <w:lang w:eastAsia="zh-CN"/>
        </w:rPr>
        <w:t>派人进行签字验收，</w:t>
      </w:r>
      <w:r>
        <w:rPr>
          <w:rFonts w:hint="eastAsia" w:ascii="仿宋" w:hAnsi="仿宋" w:eastAsia="仿宋" w:cs="仿宋"/>
          <w:color w:val="auto"/>
          <w:kern w:val="0"/>
          <w:sz w:val="24"/>
          <w:szCs w:val="24"/>
          <w:u w:val="none"/>
          <w:lang w:val="en-US" w:eastAsia="zh-CN"/>
        </w:rPr>
        <w:t>乙方须</w:t>
      </w:r>
      <w:r>
        <w:rPr>
          <w:rFonts w:hint="eastAsia" w:ascii="仿宋" w:hAnsi="仿宋" w:eastAsia="仿宋" w:cs="仿宋"/>
          <w:color w:val="auto"/>
          <w:kern w:val="0"/>
          <w:sz w:val="24"/>
          <w:szCs w:val="24"/>
          <w:u w:val="none"/>
          <w:lang w:eastAsia="zh-CN"/>
        </w:rPr>
        <w:t>定期向</w:t>
      </w:r>
      <w:r>
        <w:rPr>
          <w:rFonts w:hint="eastAsia" w:ascii="仿宋" w:hAnsi="仿宋" w:eastAsia="仿宋" w:cs="仿宋"/>
          <w:color w:val="auto"/>
          <w:kern w:val="0"/>
          <w:sz w:val="24"/>
          <w:szCs w:val="24"/>
          <w:u w:val="none"/>
          <w:lang w:val="en-US" w:eastAsia="zh-CN"/>
        </w:rPr>
        <w:t>甲方</w:t>
      </w:r>
      <w:r>
        <w:rPr>
          <w:rFonts w:hint="eastAsia" w:ascii="仿宋" w:hAnsi="仿宋" w:eastAsia="仿宋" w:cs="仿宋"/>
          <w:color w:val="auto"/>
          <w:kern w:val="0"/>
          <w:sz w:val="24"/>
          <w:szCs w:val="24"/>
          <w:u w:val="none"/>
          <w:lang w:eastAsia="zh-CN"/>
        </w:rPr>
        <w:t>设备维修科进行资料移交作存档及结算处理。</w:t>
      </w:r>
    </w:p>
    <w:p w14:paraId="7149640C">
      <w:pPr>
        <w:pStyle w:val="10"/>
        <w:keepNext w:val="0"/>
        <w:keepLines w:val="0"/>
        <w:pageBreakBefore w:val="0"/>
        <w:widowControl w:val="0"/>
        <w:kinsoku/>
        <w:wordWrap/>
        <w:overflowPunct/>
        <w:topLinePunct w:val="0"/>
        <w:autoSpaceDE/>
        <w:autoSpaceDN/>
        <w:bidi w:val="0"/>
        <w:adjustRightInd/>
        <w:snapToGrid/>
        <w:spacing w:after="0" w:line="480" w:lineRule="exact"/>
        <w:ind w:left="0" w:leftChars="0"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1.4.3.1.3 乙方根据故障情况判断是需要修理还是更换配件后，应先告知甲方且经甲方书面确认后方可开始修理或更换工作，更换配件产生的全部费用由乙方承担，所换配件和耗材需拍图上传至甲方电子文档。</w:t>
      </w:r>
    </w:p>
    <w:p w14:paraId="1CB2810F">
      <w:pPr>
        <w:keepNext w:val="0"/>
        <w:keepLines w:val="0"/>
        <w:pageBreakBefore w:val="0"/>
        <w:widowControl w:val="0"/>
        <w:kinsoku/>
        <w:wordWrap/>
        <w:overflowPunct/>
        <w:topLinePunct w:val="0"/>
        <w:autoSpaceDE/>
        <w:autoSpaceDN/>
        <w:bidi w:val="0"/>
        <w:adjustRightInd/>
        <w:snapToGrid/>
        <w:spacing w:line="480" w:lineRule="exact"/>
        <w:ind w:leftChars="0" w:firstLine="482" w:firstLineChars="200"/>
        <w:textAlignment w:val="auto"/>
        <w:rPr>
          <w:rFonts w:hint="eastAsia" w:ascii="仿宋" w:hAnsi="仿宋" w:eastAsia="仿宋" w:cs="仿宋"/>
          <w:b/>
          <w:bCs w:val="0"/>
          <w:color w:val="auto"/>
          <w:sz w:val="24"/>
          <w:szCs w:val="24"/>
        </w:rPr>
      </w:pPr>
      <w:r>
        <w:rPr>
          <w:rFonts w:hint="eastAsia" w:ascii="仿宋" w:hAnsi="仿宋" w:eastAsia="仿宋" w:cs="仿宋"/>
          <w:b/>
          <w:bCs/>
          <w:color w:val="auto"/>
          <w:kern w:val="2"/>
          <w:sz w:val="24"/>
          <w:szCs w:val="24"/>
          <w:highlight w:val="none"/>
          <w:lang w:val="en-US" w:eastAsia="zh-CN" w:bidi="ar-SA"/>
        </w:rPr>
        <w:t xml:space="preserve">第二条  </w:t>
      </w:r>
      <w:r>
        <w:rPr>
          <w:rFonts w:hint="eastAsia" w:ascii="仿宋" w:hAnsi="仿宋" w:eastAsia="仿宋" w:cs="仿宋"/>
          <w:b/>
          <w:bCs w:val="0"/>
          <w:color w:val="auto"/>
          <w:sz w:val="24"/>
          <w:szCs w:val="24"/>
          <w:lang w:val="en-US" w:eastAsia="zh-CN"/>
        </w:rPr>
        <w:t>维保</w:t>
      </w:r>
      <w:r>
        <w:rPr>
          <w:rFonts w:hint="eastAsia" w:ascii="仿宋" w:hAnsi="仿宋" w:eastAsia="仿宋" w:cs="仿宋"/>
          <w:b/>
          <w:bCs w:val="0"/>
          <w:color w:val="auto"/>
          <w:sz w:val="24"/>
          <w:szCs w:val="24"/>
          <w:lang w:eastAsia="zh-CN"/>
        </w:rPr>
        <w:t>服务</w:t>
      </w:r>
      <w:r>
        <w:rPr>
          <w:rFonts w:hint="eastAsia" w:ascii="仿宋" w:hAnsi="仿宋" w:eastAsia="仿宋" w:cs="仿宋"/>
          <w:b/>
          <w:bCs w:val="0"/>
          <w:color w:val="auto"/>
          <w:sz w:val="24"/>
          <w:szCs w:val="24"/>
        </w:rPr>
        <w:t>期限</w:t>
      </w:r>
    </w:p>
    <w:p w14:paraId="6006C16E">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维保服务期限为贰年，</w:t>
      </w:r>
      <w:r>
        <w:rPr>
          <w:rFonts w:hint="eastAsia" w:ascii="仿宋" w:hAnsi="仿宋" w:eastAsia="仿宋" w:cs="仿宋"/>
          <w:color w:val="auto"/>
          <w:sz w:val="24"/>
          <w:szCs w:val="24"/>
        </w:rPr>
        <w:t>自</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2025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日</w:t>
      </w:r>
      <w:r>
        <w:rPr>
          <w:rFonts w:hint="eastAsia" w:ascii="仿宋" w:hAnsi="仿宋" w:eastAsia="仿宋" w:cs="仿宋"/>
          <w:color w:val="auto"/>
          <w:sz w:val="24"/>
          <w:szCs w:val="24"/>
          <w:lang w:eastAsia="zh-CN"/>
        </w:rPr>
        <w:t>起</w:t>
      </w:r>
      <w:r>
        <w:rPr>
          <w:rFonts w:hint="eastAsia" w:ascii="仿宋" w:hAnsi="仿宋" w:eastAsia="仿宋" w:cs="仿宋"/>
          <w:color w:val="auto"/>
          <w:sz w:val="24"/>
          <w:szCs w:val="24"/>
        </w:rPr>
        <w:t>至</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2026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日止</w:t>
      </w:r>
      <w:r>
        <w:rPr>
          <w:rFonts w:hint="eastAsia" w:ascii="仿宋" w:hAnsi="仿宋" w:eastAsia="仿宋" w:cs="仿宋"/>
          <w:color w:val="auto"/>
          <w:sz w:val="24"/>
          <w:szCs w:val="24"/>
          <w:lang w:eastAsia="zh-CN"/>
        </w:rPr>
        <w:t>。</w:t>
      </w:r>
    </w:p>
    <w:p w14:paraId="1D31CE16">
      <w:pPr>
        <w:pStyle w:val="10"/>
        <w:keepNext w:val="0"/>
        <w:keepLines w:val="0"/>
        <w:pageBreakBefore w:val="0"/>
        <w:widowControl w:val="0"/>
        <w:numPr>
          <w:ilvl w:val="0"/>
          <w:numId w:val="0"/>
        </w:numPr>
        <w:kinsoku/>
        <w:wordWrap/>
        <w:overflowPunct/>
        <w:topLinePunct w:val="0"/>
        <w:autoSpaceDE/>
        <w:autoSpaceDN/>
        <w:bidi w:val="0"/>
        <w:adjustRightInd/>
        <w:snapToGrid/>
        <w:spacing w:after="0" w:line="480" w:lineRule="exact"/>
        <w:ind w:leftChars="0" w:firstLine="482" w:firstLineChars="200"/>
        <w:textAlignment w:val="auto"/>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第三条  甲方的权利和义务</w:t>
      </w:r>
    </w:p>
    <w:p w14:paraId="31D9E8BF">
      <w:pPr>
        <w:pStyle w:val="4"/>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3.1 有权监督、管理、定期检查乙方的维保服务，对乙方的每次保养、维修进行验收。甲方医疗设备维修中心和设备科室在乙方提供的维护记录单、维修记录单上共同签字确认方为该次服务验收合格，如验收不合格，甲方有权要求乙方无条件</w:t>
      </w:r>
      <w:r>
        <w:rPr>
          <w:rFonts w:hint="eastAsia" w:ascii="仿宋" w:hAnsi="仿宋" w:eastAsia="仿宋" w:cs="仿宋"/>
          <w:color w:val="auto"/>
          <w:kern w:val="2"/>
          <w:sz w:val="24"/>
          <w:szCs w:val="24"/>
          <w:highlight w:val="none"/>
          <w:lang w:val="en-US" w:eastAsia="zh-CN" w:bidi="ar-SA"/>
        </w:rPr>
        <w:t>在</w:t>
      </w:r>
      <w:r>
        <w:rPr>
          <w:rFonts w:hint="eastAsia" w:ascii="仿宋" w:hAnsi="仿宋" w:eastAsia="仿宋" w:cs="仿宋"/>
          <w:color w:val="auto"/>
          <w:kern w:val="2"/>
          <w:sz w:val="24"/>
          <w:szCs w:val="24"/>
          <w:highlight w:val="none"/>
          <w:u w:val="single"/>
          <w:lang w:val="en-US" w:eastAsia="zh-CN" w:bidi="ar-SA"/>
        </w:rPr>
        <w:t xml:space="preserve"> 5 </w:t>
      </w:r>
      <w:r>
        <w:rPr>
          <w:rFonts w:hint="eastAsia" w:ascii="仿宋" w:hAnsi="仿宋" w:eastAsia="仿宋" w:cs="仿宋"/>
          <w:color w:val="auto"/>
          <w:kern w:val="2"/>
          <w:sz w:val="24"/>
          <w:szCs w:val="24"/>
          <w:highlight w:val="none"/>
          <w:u w:val="none"/>
          <w:lang w:val="en-US" w:eastAsia="zh-CN" w:bidi="ar-SA"/>
        </w:rPr>
        <w:t>日内</w:t>
      </w:r>
      <w:r>
        <w:rPr>
          <w:rFonts w:hint="eastAsia" w:ascii="仿宋" w:hAnsi="仿宋" w:eastAsia="仿宋" w:cs="仿宋"/>
          <w:color w:val="auto"/>
          <w:kern w:val="2"/>
          <w:sz w:val="24"/>
          <w:szCs w:val="24"/>
          <w:lang w:val="en-US" w:eastAsia="zh-CN" w:bidi="ar-SA"/>
        </w:rPr>
        <w:t>整改到位、更换不称职人员。</w:t>
      </w:r>
    </w:p>
    <w:p w14:paraId="7473C5AE">
      <w:pPr>
        <w:pStyle w:val="4"/>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3.2 及时、如实告知乙方维保设备的运行情况及故障现象，发现设备故障时立即停止使用以防止故障情况的加重与扩大，并及时将故障情况通报乙方。</w:t>
      </w:r>
    </w:p>
    <w:p w14:paraId="48C99015">
      <w:pPr>
        <w:pStyle w:val="10"/>
        <w:keepNext w:val="0"/>
        <w:keepLines w:val="0"/>
        <w:pageBreakBefore w:val="0"/>
        <w:widowControl w:val="0"/>
        <w:kinsoku/>
        <w:wordWrap/>
        <w:overflowPunct/>
        <w:topLinePunct w:val="0"/>
        <w:autoSpaceDE/>
        <w:autoSpaceDN/>
        <w:bidi w:val="0"/>
        <w:adjustRightInd/>
        <w:snapToGrid/>
        <w:spacing w:after="0" w:line="480" w:lineRule="exact"/>
        <w:ind w:left="0" w:leftChars="0"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 xml:space="preserve">3.3 为乙方提供工作上的便利，确保乙方现场服务时供水、供电等辅助保障。                        </w:t>
      </w:r>
    </w:p>
    <w:p w14:paraId="40647ED0">
      <w:pPr>
        <w:pStyle w:val="10"/>
        <w:keepNext w:val="0"/>
        <w:keepLines w:val="0"/>
        <w:pageBreakBefore w:val="0"/>
        <w:widowControl w:val="0"/>
        <w:numPr>
          <w:ilvl w:val="0"/>
          <w:numId w:val="0"/>
        </w:numPr>
        <w:kinsoku/>
        <w:wordWrap/>
        <w:overflowPunct/>
        <w:topLinePunct w:val="0"/>
        <w:autoSpaceDE/>
        <w:autoSpaceDN/>
        <w:bidi w:val="0"/>
        <w:adjustRightInd/>
        <w:snapToGrid/>
        <w:spacing w:after="0" w:line="480" w:lineRule="exact"/>
        <w:ind w:leftChars="0" w:firstLine="482" w:firstLineChars="200"/>
        <w:textAlignment w:val="auto"/>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第四条  乙方的权利和义务</w:t>
      </w:r>
    </w:p>
    <w:p w14:paraId="6BCAE637">
      <w:pPr>
        <w:pStyle w:val="10"/>
        <w:keepNext w:val="0"/>
        <w:keepLines w:val="0"/>
        <w:pageBreakBefore w:val="0"/>
        <w:widowControl w:val="0"/>
        <w:kinsoku/>
        <w:wordWrap/>
        <w:overflowPunct/>
        <w:topLinePunct w:val="0"/>
        <w:autoSpaceDE/>
        <w:autoSpaceDN/>
        <w:bidi w:val="0"/>
        <w:adjustRightInd/>
        <w:snapToGrid/>
        <w:spacing w:after="0" w:line="480" w:lineRule="exact"/>
        <w:ind w:left="0" w:leftChars="0"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4.1 指派专业技术人员提供维保服务，确保服务期内维保设备功能正常、部件完整、技术性能达标、检测报告完整。</w:t>
      </w:r>
    </w:p>
    <w:p w14:paraId="4491CC4C">
      <w:pPr>
        <w:pStyle w:val="10"/>
        <w:keepNext w:val="0"/>
        <w:keepLines w:val="0"/>
        <w:pageBreakBefore w:val="0"/>
        <w:widowControl w:val="0"/>
        <w:kinsoku/>
        <w:wordWrap/>
        <w:overflowPunct/>
        <w:topLinePunct w:val="0"/>
        <w:autoSpaceDE/>
        <w:autoSpaceDN/>
        <w:bidi w:val="0"/>
        <w:adjustRightInd/>
        <w:snapToGrid/>
        <w:spacing w:after="0" w:line="480" w:lineRule="exact"/>
        <w:ind w:left="0" w:leftChars="0"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4.2 承诺所换配件、易耗品、耗材均为来源合法合规的原厂全新正品，并向甲方提供厂家标准资料文件（进口设备配件需提供真实有效的海关报关单，其他设备配件需提供产品合格证），换下的旧件经甲方同意后可由乙方保留。</w:t>
      </w:r>
    </w:p>
    <w:p w14:paraId="34306E49">
      <w:pPr>
        <w:pStyle w:val="10"/>
        <w:keepNext w:val="0"/>
        <w:keepLines w:val="0"/>
        <w:pageBreakBefore w:val="0"/>
        <w:widowControl w:val="0"/>
        <w:numPr>
          <w:ilvl w:val="0"/>
          <w:numId w:val="0"/>
        </w:numPr>
        <w:kinsoku/>
        <w:wordWrap/>
        <w:overflowPunct/>
        <w:topLinePunct w:val="0"/>
        <w:autoSpaceDE/>
        <w:autoSpaceDN/>
        <w:bidi w:val="0"/>
        <w:adjustRightInd/>
        <w:snapToGrid/>
        <w:spacing w:after="0" w:line="480" w:lineRule="exact"/>
        <w:ind w:leftChars="0" w:firstLine="482" w:firstLineChars="200"/>
        <w:textAlignment w:val="auto"/>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第五条  知识产权</w:t>
      </w:r>
    </w:p>
    <w:p w14:paraId="42C7674B">
      <w:pPr>
        <w:pStyle w:val="4"/>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乙方确保履行本合同期间不侵犯第三方知识产权，如因乙方侵权导致第三方向甲方主张权利，由此给甲方造成的包括但不限于甲方向第三方支付的赔偿款、补偿款、诉讼费、律师费、差旅费等全部经济损失，均由乙方承担。</w:t>
      </w:r>
    </w:p>
    <w:p w14:paraId="1CA4CC6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2" w:firstLineChars="200"/>
        <w:jc w:val="both"/>
        <w:textAlignment w:val="auto"/>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第六条  付款时间、方式</w:t>
      </w:r>
    </w:p>
    <w:p w14:paraId="2C753152">
      <w:pPr>
        <w:pStyle w:val="10"/>
        <w:keepNext w:val="0"/>
        <w:keepLines w:val="0"/>
        <w:pageBreakBefore w:val="0"/>
        <w:widowControl w:val="0"/>
        <w:kinsoku/>
        <w:wordWrap/>
        <w:overflowPunct/>
        <w:topLinePunct w:val="0"/>
        <w:autoSpaceDE/>
        <w:autoSpaceDN/>
        <w:bidi w:val="0"/>
        <w:adjustRightInd/>
        <w:snapToGrid/>
        <w:spacing w:after="0" w:line="480" w:lineRule="exact"/>
        <w:ind w:left="0" w:leftChars="0"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6.1 本合同维保服务费用总计人民币</w:t>
      </w:r>
      <w:r>
        <w:rPr>
          <w:rFonts w:hint="eastAsia" w:ascii="仿宋" w:hAnsi="仿宋" w:eastAsia="仿宋" w:cs="仿宋"/>
          <w:color w:val="auto"/>
          <w:kern w:val="2"/>
          <w:sz w:val="24"/>
          <w:szCs w:val="24"/>
          <w:u w:val="single"/>
          <w:lang w:val="en-US" w:eastAsia="zh-CN" w:bidi="ar-SA"/>
        </w:rPr>
        <w:t xml:space="preserve">         </w:t>
      </w:r>
      <w:r>
        <w:rPr>
          <w:rFonts w:hint="eastAsia" w:ascii="仿宋" w:hAnsi="仿宋" w:eastAsia="仿宋" w:cs="仿宋"/>
          <w:color w:val="auto"/>
          <w:kern w:val="2"/>
          <w:sz w:val="24"/>
          <w:szCs w:val="24"/>
          <w:u w:val="none"/>
          <w:lang w:val="en-US" w:eastAsia="zh-CN" w:bidi="ar-SA"/>
        </w:rPr>
        <w:t>元整（小写：</w:t>
      </w:r>
      <w:r>
        <w:rPr>
          <w:rFonts w:hint="eastAsia" w:ascii="仿宋" w:hAnsi="仿宋" w:eastAsia="仿宋" w:cs="仿宋"/>
          <w:color w:val="auto"/>
          <w:kern w:val="2"/>
          <w:sz w:val="24"/>
          <w:szCs w:val="24"/>
          <w:u w:val="single"/>
          <w:lang w:val="en-US" w:eastAsia="zh-CN" w:bidi="ar-SA"/>
        </w:rPr>
        <w:t xml:space="preserve">     </w:t>
      </w:r>
      <w:r>
        <w:rPr>
          <w:rFonts w:hint="eastAsia" w:ascii="仿宋" w:hAnsi="仿宋" w:eastAsia="仿宋" w:cs="仿宋"/>
          <w:color w:val="auto"/>
          <w:kern w:val="2"/>
          <w:sz w:val="24"/>
          <w:szCs w:val="24"/>
          <w:u w:val="none"/>
          <w:lang w:val="en-US" w:eastAsia="zh-CN" w:bidi="ar-SA"/>
        </w:rPr>
        <w:t>元），已</w:t>
      </w:r>
      <w:r>
        <w:rPr>
          <w:rFonts w:hint="eastAsia" w:ascii="仿宋" w:hAnsi="仿宋" w:eastAsia="仿宋" w:cs="仿宋"/>
          <w:color w:val="auto"/>
          <w:kern w:val="2"/>
          <w:sz w:val="24"/>
          <w:szCs w:val="24"/>
          <w:lang w:val="en-US" w:eastAsia="zh-CN" w:bidi="ar-SA"/>
        </w:rPr>
        <w:t xml:space="preserve">包含乙方履行本合同产生的维修费、检测费、配件费及更换费、运输费、装卸费、人工费、上门费、工时费、差旅费、税费等所有费用，甲方不再就设备维保服务额外支付任何其他费用。 </w:t>
      </w:r>
    </w:p>
    <w:p w14:paraId="4473B6B1">
      <w:pPr>
        <w:keepNext w:val="0"/>
        <w:keepLines w:val="0"/>
        <w:pageBreakBefore w:val="0"/>
        <w:widowControl w:val="0"/>
        <w:kinsoku/>
        <w:wordWrap/>
        <w:overflowPunct/>
        <w:topLinePunct w:val="0"/>
        <w:autoSpaceDN/>
        <w:bidi w:val="0"/>
        <w:adjustRightInd/>
        <w:snapToGrid/>
        <w:spacing w:line="480" w:lineRule="exact"/>
        <w:ind w:leftChars="0" w:firstLine="480" w:firstLineChars="2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en-US" w:eastAsia="zh-CN"/>
        </w:rPr>
        <w:t xml:space="preserve">6.2 </w:t>
      </w:r>
      <w:r>
        <w:rPr>
          <w:rFonts w:hint="eastAsia" w:ascii="仿宋" w:hAnsi="仿宋" w:eastAsia="仿宋" w:cs="仿宋"/>
          <w:color w:val="auto"/>
          <w:sz w:val="24"/>
          <w:szCs w:val="24"/>
          <w:lang w:eastAsia="zh-CN"/>
        </w:rPr>
        <w:t>甲方通过银行转账方式分</w:t>
      </w:r>
      <w:r>
        <w:rPr>
          <w:rFonts w:hint="eastAsia" w:ascii="仿宋" w:hAnsi="仿宋" w:eastAsia="仿宋" w:cs="仿宋"/>
          <w:color w:val="auto"/>
          <w:sz w:val="24"/>
          <w:szCs w:val="24"/>
          <w:lang w:val="en-US" w:eastAsia="zh-CN"/>
        </w:rPr>
        <w:t>四</w:t>
      </w:r>
      <w:r>
        <w:rPr>
          <w:rFonts w:hint="eastAsia" w:ascii="仿宋" w:hAnsi="仿宋" w:eastAsia="仿宋" w:cs="仿宋"/>
          <w:color w:val="auto"/>
          <w:sz w:val="24"/>
          <w:szCs w:val="24"/>
          <w:lang w:eastAsia="zh-CN"/>
        </w:rPr>
        <w:t>期支付费用至乙方指定账户：</w:t>
      </w:r>
      <w:r>
        <w:rPr>
          <w:rFonts w:hint="eastAsia" w:ascii="仿宋" w:hAnsi="仿宋" w:eastAsia="仿宋" w:cs="仿宋"/>
          <w:color w:val="auto"/>
          <w:sz w:val="24"/>
          <w:szCs w:val="24"/>
          <w:lang w:val="en-US" w:eastAsia="zh-CN"/>
        </w:rPr>
        <w:t>每半个合同年度期满后</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天内，甲方向乙方支付人民币</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元整（小写：</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元）。</w:t>
      </w:r>
    </w:p>
    <w:p w14:paraId="603D7FD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lang w:val="en-US" w:eastAsia="zh-CN"/>
        </w:rPr>
        <w:t>6.3 乙方指定收款银行账户的开户名：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w:t>
      </w:r>
      <w:r>
        <w:rPr>
          <w:rFonts w:hint="eastAsia" w:ascii="仿宋" w:hAnsi="仿宋" w:eastAsia="仿宋" w:cs="仿宋"/>
          <w:color w:val="auto"/>
          <w:sz w:val="24"/>
          <w:szCs w:val="24"/>
          <w:highlight w:val="none"/>
          <w:lang w:val="en-US" w:eastAsia="zh-CN"/>
        </w:rPr>
        <w:t>开户银行：</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lang w:val="en-US" w:eastAsia="zh-CN"/>
        </w:rPr>
        <w:t>账号：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 xml:space="preserve">。  </w:t>
      </w:r>
    </w:p>
    <w:p w14:paraId="798092B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6.4 乙方应在甲方每次付款前，向甲方提供以乙方自己名义开具的与当次</w:t>
      </w:r>
      <w:r>
        <w:rPr>
          <w:rFonts w:hint="eastAsia" w:ascii="仿宋" w:hAnsi="仿宋" w:eastAsia="仿宋" w:cs="仿宋"/>
          <w:color w:val="auto"/>
          <w:sz w:val="24"/>
          <w:szCs w:val="24"/>
          <w:lang w:val="en-US" w:eastAsia="zh-CN"/>
        </w:rPr>
        <w:t>付款金额相对应的</w:t>
      </w:r>
      <w:r>
        <w:rPr>
          <w:rFonts w:hint="eastAsia" w:ascii="仿宋" w:hAnsi="仿宋" w:eastAsia="仿宋" w:cs="仿宋"/>
          <w:color w:val="auto"/>
          <w:sz w:val="24"/>
          <w:szCs w:val="24"/>
          <w:highlight w:val="none"/>
          <w:lang w:val="en-US" w:eastAsia="zh-CN"/>
        </w:rPr>
        <w:t>增值税普通发票；如乙方未按约定提供发票，甲方有权拒绝付款且不视为逾期付款，由此产生的不利后果均由乙方自行承担。</w:t>
      </w:r>
    </w:p>
    <w:p w14:paraId="04E315A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2"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第七条  风险承担</w:t>
      </w:r>
    </w:p>
    <w:p w14:paraId="6BBA88F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7.1 乙方履行本合同过程中发生事故，包括但不限于在运输、装卸、维修及调试过程中发生事故，给甲方、乙方或第三方人身、财产造成的所有损失，均由乙方负责处理和承担全部法律责任、经济赔偿。</w:t>
      </w:r>
    </w:p>
    <w:p w14:paraId="6DA989E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7.2 如甲方因乙方维修、维保服务等原因涉及纠纷、诉讼或被处以行政处罚，由乙方承担甲方因纠纷、诉讼、罚款等造成的全部经济损失。</w:t>
      </w:r>
    </w:p>
    <w:p w14:paraId="26C01D9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2" w:firstLineChars="200"/>
        <w:jc w:val="both"/>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第八条  廉洁条款</w:t>
      </w:r>
    </w:p>
    <w:p w14:paraId="68B76FA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8.1 乙方应严格遵守国家相关法律法规，涉及合同的有关业务活动必须坚持公开、公平、公正、诚信原则，不得为获取不正当利益，损害国家、集体和甲方利益。</w:t>
      </w:r>
    </w:p>
    <w:p w14:paraId="4A9DB4E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2" w:firstLineChars="200"/>
        <w:jc w:val="both"/>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 xml:space="preserve">8.2 </w:t>
      </w:r>
      <w:r>
        <w:rPr>
          <w:rFonts w:hint="eastAsia" w:ascii="仿宋" w:hAnsi="仿宋" w:eastAsia="仿宋" w:cs="仿宋"/>
          <w:b/>
          <w:bCs/>
          <w:color w:val="auto"/>
          <w:sz w:val="24"/>
          <w:szCs w:val="24"/>
          <w:highlight w:val="none"/>
          <w:u w:val="single"/>
          <w:lang w:val="en-US" w:eastAsia="zh-CN"/>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5A61BDBF">
      <w:pPr>
        <w:keepNext w:val="0"/>
        <w:keepLines w:val="0"/>
        <w:pageBreakBefore w:val="0"/>
        <w:widowControl w:val="0"/>
        <w:kinsoku/>
        <w:wordWrap/>
        <w:overflowPunct/>
        <w:topLinePunct w:val="0"/>
        <w:autoSpaceDE/>
        <w:autoSpaceDN/>
        <w:bidi w:val="0"/>
        <w:adjustRightInd/>
        <w:snapToGrid/>
        <w:spacing w:line="480" w:lineRule="exact"/>
        <w:ind w:leftChars="0"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第九条  保密条款</w:t>
      </w:r>
    </w:p>
    <w:p w14:paraId="6453025F">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9.1 本合同订立、履行、变更等产生的研究、商讨、交流等信息，履行本合同获悉的甲方商业秘密、运营信息、工作人员信息、患陪个人信息等，均属保密信息。</w:t>
      </w:r>
    </w:p>
    <w:p w14:paraId="43954ADF">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9.2 乙方应对保密信息应当采取有效手段严格保密，不得用于非本合同之目的或向第三方泄露。如政府部门、法院或其他有权部门要求乙方提供保密信息，乙方应当立即向甲方通报。</w:t>
      </w:r>
    </w:p>
    <w:p w14:paraId="662070FF">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9.3 因乙方未履行本合同保密义务造成甲方或第三方损失的，由乙方承担全部赔偿责任。</w:t>
      </w:r>
    </w:p>
    <w:p w14:paraId="500414D6">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9.4 本合同保密条款在合同被认定无效、被撤销或终止、解除后仍然有效。</w:t>
      </w:r>
    </w:p>
    <w:p w14:paraId="06602C75">
      <w:pPr>
        <w:keepNext w:val="0"/>
        <w:keepLines w:val="0"/>
        <w:pageBreakBefore w:val="0"/>
        <w:widowControl w:val="0"/>
        <w:kinsoku/>
        <w:wordWrap/>
        <w:overflowPunct/>
        <w:topLinePunct w:val="0"/>
        <w:autoSpaceDE/>
        <w:autoSpaceDN/>
        <w:bidi w:val="0"/>
        <w:adjustRightInd/>
        <w:snapToGrid/>
        <w:spacing w:line="480" w:lineRule="exact"/>
        <w:ind w:leftChars="0"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第十条  通知与送达</w:t>
      </w:r>
    </w:p>
    <w:p w14:paraId="2D701154">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10.1 甲乙双方同意，与本合同有关的任何文书，应以书面方式按照本合同约定发送，书面方式包括手机短信、微信、书面函件、电子邮件等形式。</w:t>
      </w:r>
    </w:p>
    <w:p w14:paraId="26D48EA8">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10.2 双方确认的文书（包括未来可能发生的诉讼或仲裁活动中法院或仲裁机构的送达法律文书）送达地址：</w:t>
      </w:r>
    </w:p>
    <w:p w14:paraId="6F6BE371">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10.2.1 甲方的联系地址：</w:t>
      </w:r>
      <w:r>
        <w:rPr>
          <w:rFonts w:hint="eastAsia" w:ascii="仿宋" w:hAnsi="仿宋" w:eastAsia="仿宋" w:cs="仿宋"/>
          <w:b w:val="0"/>
          <w:bCs w:val="0"/>
          <w:color w:val="auto"/>
          <w:sz w:val="24"/>
          <w:szCs w:val="24"/>
          <w:highlight w:val="none"/>
          <w:u w:val="single"/>
          <w:lang w:val="en-US" w:eastAsia="zh-CN"/>
        </w:rPr>
        <w:t>娄底市娄星区长青中街51号</w:t>
      </w:r>
      <w:r>
        <w:rPr>
          <w:rFonts w:hint="eastAsia" w:ascii="仿宋" w:hAnsi="仿宋" w:eastAsia="仿宋" w:cs="仿宋"/>
          <w:color w:val="auto"/>
          <w:sz w:val="24"/>
          <w:szCs w:val="24"/>
          <w:highlight w:val="none"/>
          <w:u w:val="single"/>
          <w:lang w:val="en-US" w:eastAsia="zh-CN"/>
        </w:rPr>
        <w:t>娄底市中心医院医疗设备维修中心</w:t>
      </w:r>
      <w:r>
        <w:rPr>
          <w:rFonts w:hint="eastAsia" w:ascii="仿宋" w:hAnsi="仿宋" w:eastAsia="仿宋" w:cs="仿宋"/>
          <w:b w:val="0"/>
          <w:bCs w:val="0"/>
          <w:color w:val="auto"/>
          <w:sz w:val="24"/>
          <w:szCs w:val="24"/>
          <w:highlight w:val="none"/>
          <w:lang w:val="en-US" w:eastAsia="zh-CN"/>
        </w:rPr>
        <w:t>，联系人：</w:t>
      </w:r>
      <w:r>
        <w:rPr>
          <w:rFonts w:hint="eastAsia" w:ascii="仿宋" w:hAnsi="仿宋" w:eastAsia="仿宋" w:cs="仿宋"/>
          <w:b w:val="0"/>
          <w:bCs w:val="0"/>
          <w:color w:val="auto"/>
          <w:sz w:val="24"/>
          <w:szCs w:val="24"/>
          <w:highlight w:val="none"/>
          <w:u w:val="single"/>
          <w:lang w:val="en-US" w:eastAsia="zh-CN"/>
        </w:rPr>
        <w:t xml:space="preserve"> 贺煦卉 </w:t>
      </w:r>
      <w:r>
        <w:rPr>
          <w:rFonts w:hint="eastAsia" w:ascii="仿宋" w:hAnsi="仿宋" w:eastAsia="仿宋" w:cs="仿宋"/>
          <w:b w:val="0"/>
          <w:bCs w:val="0"/>
          <w:color w:val="auto"/>
          <w:sz w:val="24"/>
          <w:szCs w:val="24"/>
          <w:highlight w:val="none"/>
          <w:lang w:val="en-US" w:eastAsia="zh-CN"/>
        </w:rPr>
        <w:t>，联系电话：</w:t>
      </w:r>
      <w:r>
        <w:rPr>
          <w:rFonts w:hint="eastAsia" w:ascii="仿宋" w:hAnsi="仿宋" w:eastAsia="仿宋" w:cs="仿宋"/>
          <w:b w:val="0"/>
          <w:bCs w:val="0"/>
          <w:color w:val="auto"/>
          <w:sz w:val="24"/>
          <w:szCs w:val="24"/>
          <w:highlight w:val="none"/>
          <w:u w:val="single"/>
          <w:lang w:val="en-US" w:eastAsia="zh-CN"/>
        </w:rPr>
        <w:t xml:space="preserve"> 13034829688 </w:t>
      </w:r>
      <w:r>
        <w:rPr>
          <w:rFonts w:hint="eastAsia" w:ascii="仿宋" w:hAnsi="仿宋" w:eastAsia="仿宋" w:cs="仿宋"/>
          <w:b w:val="0"/>
          <w:bCs w:val="0"/>
          <w:color w:val="auto"/>
          <w:sz w:val="24"/>
          <w:szCs w:val="24"/>
          <w:highlight w:val="none"/>
          <w:lang w:val="en-US" w:eastAsia="zh-CN"/>
        </w:rPr>
        <w:t>，邮箱地址：</w:t>
      </w:r>
      <w:r>
        <w:rPr>
          <w:rFonts w:hint="eastAsia" w:ascii="仿宋" w:hAnsi="仿宋" w:eastAsia="仿宋" w:cs="仿宋"/>
          <w:b w:val="0"/>
          <w:bCs w:val="0"/>
          <w:color w:val="auto"/>
          <w:sz w:val="24"/>
          <w:szCs w:val="24"/>
          <w:highlight w:val="none"/>
          <w:u w:val="single"/>
          <w:lang w:val="en-US" w:eastAsia="zh-CN"/>
        </w:rPr>
        <w:t xml:space="preserve"> / </w:t>
      </w:r>
      <w:r>
        <w:rPr>
          <w:rFonts w:hint="eastAsia" w:ascii="仿宋" w:hAnsi="仿宋" w:eastAsia="仿宋" w:cs="仿宋"/>
          <w:b w:val="0"/>
          <w:bCs w:val="0"/>
          <w:color w:val="auto"/>
          <w:sz w:val="24"/>
          <w:szCs w:val="24"/>
          <w:highlight w:val="none"/>
          <w:lang w:val="en-US" w:eastAsia="zh-CN"/>
        </w:rPr>
        <w:t>，或微信号：</w:t>
      </w:r>
      <w:r>
        <w:rPr>
          <w:rFonts w:hint="eastAsia" w:ascii="仿宋" w:hAnsi="仿宋" w:eastAsia="仿宋" w:cs="仿宋"/>
          <w:b w:val="0"/>
          <w:bCs w:val="0"/>
          <w:color w:val="auto"/>
          <w:sz w:val="24"/>
          <w:szCs w:val="24"/>
          <w:highlight w:val="none"/>
          <w:u w:val="single"/>
          <w:lang w:val="en-US" w:eastAsia="zh-CN"/>
        </w:rPr>
        <w:t xml:space="preserve"> 13034829688 </w:t>
      </w:r>
      <w:r>
        <w:rPr>
          <w:rFonts w:hint="eastAsia" w:ascii="仿宋" w:hAnsi="仿宋" w:eastAsia="仿宋" w:cs="仿宋"/>
          <w:b w:val="0"/>
          <w:bCs w:val="0"/>
          <w:color w:val="auto"/>
          <w:sz w:val="24"/>
          <w:szCs w:val="24"/>
          <w:highlight w:val="none"/>
          <w:lang w:val="en-US" w:eastAsia="zh-CN"/>
        </w:rPr>
        <w:t>。</w:t>
      </w:r>
    </w:p>
    <w:p w14:paraId="15E27530">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10.2.2 乙方的联系地址：</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 xml:space="preserve"> ，联系人：</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 联系电话：</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，邮箱地址：</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 xml:space="preserve"> ，或微信号：</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w:t>
      </w:r>
    </w:p>
    <w:p w14:paraId="4D065B3B">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4AA8CCAD">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200C1AD8">
      <w:pPr>
        <w:keepNext w:val="0"/>
        <w:keepLines w:val="0"/>
        <w:pageBreakBefore w:val="0"/>
        <w:widowControl w:val="0"/>
        <w:kinsoku/>
        <w:wordWrap/>
        <w:overflowPunct/>
        <w:topLinePunct w:val="0"/>
        <w:autoSpaceDE/>
        <w:autoSpaceDN/>
        <w:bidi w:val="0"/>
        <w:adjustRightInd/>
        <w:snapToGrid/>
        <w:spacing w:line="480" w:lineRule="exact"/>
        <w:ind w:leftChars="0"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eastAsia="zh-CN"/>
        </w:rPr>
        <w:t>第十</w:t>
      </w:r>
      <w:r>
        <w:rPr>
          <w:rFonts w:hint="eastAsia" w:ascii="仿宋" w:hAnsi="仿宋" w:eastAsia="仿宋" w:cs="仿宋"/>
          <w:b/>
          <w:bCs/>
          <w:color w:val="auto"/>
          <w:sz w:val="24"/>
          <w:szCs w:val="24"/>
          <w:highlight w:val="none"/>
          <w:lang w:val="en-US" w:eastAsia="zh-CN"/>
        </w:rPr>
        <w:t>一</w:t>
      </w:r>
      <w:r>
        <w:rPr>
          <w:rFonts w:hint="eastAsia" w:ascii="仿宋" w:hAnsi="仿宋" w:eastAsia="仿宋" w:cs="仿宋"/>
          <w:b/>
          <w:bCs/>
          <w:color w:val="auto"/>
          <w:sz w:val="24"/>
          <w:szCs w:val="24"/>
          <w:highlight w:val="none"/>
          <w:lang w:eastAsia="zh-CN"/>
        </w:rPr>
        <w:t>条</w:t>
      </w:r>
      <w:r>
        <w:rPr>
          <w:rFonts w:hint="eastAsia" w:ascii="仿宋" w:hAnsi="仿宋" w:eastAsia="仿宋" w:cs="仿宋"/>
          <w:b/>
          <w:bCs/>
          <w:color w:val="auto"/>
          <w:sz w:val="24"/>
          <w:szCs w:val="24"/>
          <w:highlight w:val="none"/>
          <w:lang w:val="en-US" w:eastAsia="zh-CN"/>
        </w:rPr>
        <w:t xml:space="preserve"> 合同的变更、解除</w:t>
      </w:r>
    </w:p>
    <w:p w14:paraId="6198FE80">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11.1 本合同经双方协商一致后可以变更，双方应另行签订补充协议。</w:t>
      </w:r>
    </w:p>
    <w:p w14:paraId="7AB41A05">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11.2 如甲方因政策变化等非自身主观原因不需要购买本合同维保服务，经书面通知乙方后可以提前终止本合同；如甲方因运营需要等原因不需要购买本合同部分维保服务，不需要购买的部分自动从采购内容中剔除。</w:t>
      </w:r>
    </w:p>
    <w:p w14:paraId="5E221AE1">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11.3 </w:t>
      </w:r>
      <w:r>
        <w:rPr>
          <w:rFonts w:hint="eastAsia" w:ascii="仿宋" w:hAnsi="仿宋" w:eastAsia="仿宋" w:cs="仿宋"/>
          <w:color w:val="auto"/>
          <w:sz w:val="24"/>
          <w:szCs w:val="24"/>
          <w:highlight w:val="none"/>
        </w:rPr>
        <w:t>乙方出现以下违约情形之一的，甲方有权拒绝支付任何价款并解除合同：</w:t>
      </w:r>
    </w:p>
    <w:p w14:paraId="52808F0E">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11</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.1 乙方逾期</w:t>
      </w:r>
      <w:r>
        <w:rPr>
          <w:rFonts w:hint="eastAsia" w:ascii="仿宋" w:hAnsi="仿宋" w:eastAsia="仿宋" w:cs="仿宋"/>
          <w:color w:val="auto"/>
          <w:sz w:val="24"/>
          <w:szCs w:val="24"/>
          <w:highlight w:val="none"/>
          <w:u w:val="single"/>
          <w:lang w:val="en-US" w:eastAsia="zh-CN"/>
        </w:rPr>
        <w:t xml:space="preserve"> 5 </w:t>
      </w:r>
      <w:r>
        <w:rPr>
          <w:rFonts w:hint="eastAsia" w:ascii="仿宋" w:hAnsi="仿宋" w:eastAsia="仿宋" w:cs="仿宋"/>
          <w:color w:val="auto"/>
          <w:sz w:val="24"/>
          <w:szCs w:val="24"/>
          <w:highlight w:val="none"/>
        </w:rPr>
        <w:t>日仍不能</w:t>
      </w:r>
      <w:r>
        <w:rPr>
          <w:rFonts w:hint="eastAsia" w:ascii="仿宋" w:hAnsi="仿宋" w:eastAsia="仿宋" w:cs="仿宋"/>
          <w:color w:val="auto"/>
          <w:sz w:val="24"/>
          <w:szCs w:val="24"/>
          <w:highlight w:val="none"/>
          <w:lang w:val="en-US" w:eastAsia="zh-CN"/>
        </w:rPr>
        <w:t>修复设备</w:t>
      </w:r>
      <w:r>
        <w:rPr>
          <w:rFonts w:hint="eastAsia" w:ascii="仿宋" w:hAnsi="仿宋" w:eastAsia="仿宋" w:cs="仿宋"/>
          <w:color w:val="auto"/>
          <w:sz w:val="24"/>
          <w:szCs w:val="24"/>
          <w:highlight w:val="none"/>
        </w:rPr>
        <w:t>；</w:t>
      </w:r>
    </w:p>
    <w:p w14:paraId="6612D438">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11.3.2 维保服务期内任一台维保设备年开机率未能达到95%的；</w:t>
      </w:r>
    </w:p>
    <w:p w14:paraId="31681C32">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11</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 xml:space="preserve"> 乙方提供的</w:t>
      </w:r>
      <w:r>
        <w:rPr>
          <w:rFonts w:hint="eastAsia" w:ascii="仿宋" w:hAnsi="仿宋" w:eastAsia="仿宋" w:cs="仿宋"/>
          <w:color w:val="auto"/>
          <w:sz w:val="24"/>
          <w:szCs w:val="24"/>
          <w:highlight w:val="none"/>
          <w:lang w:val="en-US" w:eastAsia="zh-CN"/>
        </w:rPr>
        <w:t>配件</w:t>
      </w:r>
      <w:r>
        <w:rPr>
          <w:rFonts w:hint="eastAsia" w:ascii="仿宋" w:hAnsi="仿宋" w:eastAsia="仿宋" w:cs="仿宋"/>
          <w:color w:val="auto"/>
          <w:sz w:val="24"/>
          <w:szCs w:val="24"/>
          <w:highlight w:val="none"/>
        </w:rPr>
        <w:t>质量不符合国家标准、本合同标准或</w:t>
      </w:r>
      <w:r>
        <w:rPr>
          <w:rFonts w:hint="eastAsia" w:ascii="仿宋" w:hAnsi="仿宋" w:eastAsia="仿宋" w:cs="仿宋"/>
          <w:color w:val="auto"/>
          <w:sz w:val="24"/>
          <w:szCs w:val="24"/>
          <w:highlight w:val="none"/>
          <w:lang w:eastAsia="zh-CN"/>
        </w:rPr>
        <w:t>投标文件</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响应文件约定标准；</w:t>
      </w:r>
    </w:p>
    <w:p w14:paraId="71730349">
      <w:pPr>
        <w:keepNext w:val="0"/>
        <w:keepLines w:val="0"/>
        <w:pageBreakBefore w:val="0"/>
        <w:widowControl w:val="0"/>
        <w:kinsoku/>
        <w:wordWrap/>
        <w:overflowPunct/>
        <w:topLinePunct w:val="0"/>
        <w:autoSpaceDN/>
        <w:bidi w:val="0"/>
        <w:adjustRightInd/>
        <w:snapToGrid/>
        <w:spacing w:line="480" w:lineRule="exact"/>
        <w:ind w:leftChars="0" w:firstLine="480" w:firstLineChars="200"/>
        <w:textAlignment w:val="auto"/>
        <w:rPr>
          <w:rFonts w:hint="eastAsia" w:ascii="仿宋" w:hAnsi="仿宋" w:eastAsia="仿宋" w:cs="仿宋"/>
          <w:b w:val="0"/>
          <w:bCs w:val="0"/>
          <w:color w:val="auto"/>
          <w:sz w:val="24"/>
          <w:szCs w:val="24"/>
        </w:rPr>
      </w:pPr>
      <w:r>
        <w:rPr>
          <w:rFonts w:hint="eastAsia" w:ascii="仿宋" w:hAnsi="仿宋" w:eastAsia="仿宋" w:cs="仿宋"/>
          <w:color w:val="auto"/>
          <w:sz w:val="24"/>
          <w:szCs w:val="24"/>
          <w:highlight w:val="none"/>
          <w:lang w:val="en-US" w:eastAsia="zh-CN"/>
        </w:rPr>
        <w:t>11</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 xml:space="preserve">4 </w:t>
      </w:r>
      <w:r>
        <w:rPr>
          <w:rFonts w:hint="eastAsia" w:ascii="仿宋" w:hAnsi="仿宋" w:eastAsia="仿宋" w:cs="仿宋"/>
          <w:color w:val="auto"/>
          <w:sz w:val="24"/>
          <w:szCs w:val="24"/>
          <w:lang w:val="en-US" w:eastAsia="zh-CN"/>
        </w:rPr>
        <w:t>乙方在维修安装时未尽注意义务导致本合同维保设备</w:t>
      </w:r>
      <w:r>
        <w:rPr>
          <w:rFonts w:hint="eastAsia" w:ascii="仿宋" w:hAnsi="仿宋" w:eastAsia="仿宋" w:cs="仿宋"/>
          <w:color w:val="auto"/>
          <w:sz w:val="24"/>
          <w:szCs w:val="24"/>
          <w:u w:val="none"/>
          <w:lang w:val="en-US" w:eastAsia="zh-CN"/>
        </w:rPr>
        <w:t>发生无法修复的故障；</w:t>
      </w:r>
    </w:p>
    <w:p w14:paraId="6FB933E0">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11.3.5 </w:t>
      </w:r>
      <w:r>
        <w:rPr>
          <w:rFonts w:hint="eastAsia" w:ascii="仿宋" w:hAnsi="仿宋" w:eastAsia="仿宋" w:cs="仿宋"/>
          <w:color w:val="auto"/>
          <w:sz w:val="24"/>
          <w:szCs w:val="24"/>
          <w:highlight w:val="none"/>
        </w:rPr>
        <w:t>乙方将</w:t>
      </w:r>
      <w:r>
        <w:rPr>
          <w:rFonts w:hint="eastAsia" w:ascii="仿宋" w:hAnsi="仿宋" w:eastAsia="仿宋" w:cs="仿宋"/>
          <w:color w:val="auto"/>
          <w:sz w:val="24"/>
          <w:szCs w:val="24"/>
          <w:highlight w:val="none"/>
          <w:lang w:val="en-US" w:eastAsia="zh-CN"/>
        </w:rPr>
        <w:t>本合同权利义务全部或部分转让给</w:t>
      </w:r>
      <w:r>
        <w:rPr>
          <w:rFonts w:hint="eastAsia" w:ascii="仿宋" w:hAnsi="仿宋" w:eastAsia="仿宋" w:cs="仿宋"/>
          <w:color w:val="auto"/>
          <w:sz w:val="24"/>
          <w:szCs w:val="24"/>
          <w:highlight w:val="none"/>
        </w:rPr>
        <w:t>第三方；</w:t>
      </w:r>
    </w:p>
    <w:p w14:paraId="514692EF">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lang w:val="en-US" w:eastAsia="zh-CN"/>
        </w:rPr>
        <w:t>11</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 xml:space="preserve"> 其他根本违约的情形。</w:t>
      </w:r>
    </w:p>
    <w:p w14:paraId="73285DCE">
      <w:pPr>
        <w:keepNext w:val="0"/>
        <w:keepLines w:val="0"/>
        <w:pageBreakBefore w:val="0"/>
        <w:widowControl w:val="0"/>
        <w:kinsoku/>
        <w:wordWrap/>
        <w:overflowPunct/>
        <w:topLinePunct w:val="0"/>
        <w:autoSpaceDE/>
        <w:autoSpaceDN/>
        <w:bidi w:val="0"/>
        <w:adjustRightInd/>
        <w:snapToGrid/>
        <w:spacing w:line="480" w:lineRule="exact"/>
        <w:ind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w:t>
      </w:r>
      <w:r>
        <w:rPr>
          <w:rFonts w:hint="eastAsia" w:ascii="仿宋" w:hAnsi="仿宋" w:eastAsia="仿宋" w:cs="仿宋"/>
          <w:b/>
          <w:bCs/>
          <w:color w:val="auto"/>
          <w:sz w:val="24"/>
          <w:szCs w:val="24"/>
          <w:highlight w:val="none"/>
          <w:lang w:eastAsia="zh-CN"/>
        </w:rPr>
        <w:t>十</w:t>
      </w:r>
      <w:r>
        <w:rPr>
          <w:rFonts w:hint="eastAsia" w:ascii="仿宋" w:hAnsi="仿宋" w:eastAsia="仿宋" w:cs="仿宋"/>
          <w:b/>
          <w:bCs/>
          <w:color w:val="auto"/>
          <w:sz w:val="24"/>
          <w:szCs w:val="24"/>
          <w:highlight w:val="none"/>
          <w:lang w:val="en-US" w:eastAsia="zh-CN"/>
        </w:rPr>
        <w:t>二</w:t>
      </w:r>
      <w:r>
        <w:rPr>
          <w:rFonts w:hint="eastAsia" w:ascii="仿宋" w:hAnsi="仿宋" w:eastAsia="仿宋" w:cs="仿宋"/>
          <w:b/>
          <w:bCs/>
          <w:color w:val="auto"/>
          <w:sz w:val="24"/>
          <w:szCs w:val="24"/>
          <w:highlight w:val="none"/>
        </w:rPr>
        <w:t>条 违约责任</w:t>
      </w:r>
    </w:p>
    <w:p w14:paraId="72CB9F32">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 xml:space="preserve">.1 </w:t>
      </w:r>
      <w:r>
        <w:rPr>
          <w:rFonts w:hint="eastAsia" w:ascii="仿宋" w:hAnsi="仿宋" w:eastAsia="仿宋" w:cs="仿宋"/>
          <w:color w:val="auto"/>
          <w:sz w:val="24"/>
          <w:szCs w:val="24"/>
          <w:highlight w:val="none"/>
          <w:lang w:eastAsia="zh-CN"/>
        </w:rPr>
        <w:t>甲方因</w:t>
      </w:r>
      <w:r>
        <w:rPr>
          <w:rFonts w:hint="eastAsia" w:ascii="仿宋" w:hAnsi="仿宋" w:eastAsia="仿宋" w:cs="仿宋"/>
          <w:color w:val="auto"/>
          <w:sz w:val="24"/>
          <w:szCs w:val="24"/>
          <w:highlight w:val="none"/>
          <w:lang w:val="en-US" w:eastAsia="zh-CN"/>
        </w:rPr>
        <w:t>11.2情形提前终止本合同或剔除部分采购内容均无须承担违约责任，乙方不得因此要求甲方予以任何经济赔偿或补偿。</w:t>
      </w:r>
    </w:p>
    <w:p w14:paraId="3C513FD7">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.2 如乙方未在本合同约定时间内</w:t>
      </w:r>
      <w:r>
        <w:rPr>
          <w:rFonts w:hint="eastAsia" w:ascii="仿宋" w:hAnsi="仿宋" w:eastAsia="仿宋" w:cs="仿宋"/>
          <w:color w:val="auto"/>
          <w:sz w:val="24"/>
          <w:szCs w:val="24"/>
          <w:highlight w:val="none"/>
          <w:lang w:val="en-US" w:eastAsia="zh-CN"/>
        </w:rPr>
        <w:t>完成维保、维修服务的</w:t>
      </w:r>
      <w:r>
        <w:rPr>
          <w:rFonts w:hint="eastAsia" w:ascii="仿宋" w:hAnsi="仿宋" w:eastAsia="仿宋" w:cs="仿宋"/>
          <w:color w:val="auto"/>
          <w:sz w:val="24"/>
          <w:szCs w:val="24"/>
          <w:highlight w:val="none"/>
        </w:rPr>
        <w:t>，除应赔偿甲方因此造成的损失外，每逾期一日，按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none"/>
          <w:lang w:val="en-US"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元 ☑</w:t>
      </w:r>
      <w:r>
        <w:rPr>
          <w:rFonts w:hint="eastAsia" w:ascii="仿宋" w:hAnsi="仿宋" w:eastAsia="仿宋" w:cs="仿宋"/>
          <w:color w:val="auto"/>
          <w:sz w:val="24"/>
          <w:szCs w:val="24"/>
          <w:highlight w:val="none"/>
          <w:u w:val="none"/>
        </w:rPr>
        <w:t>本合同约定总价款的</w:t>
      </w:r>
      <w:r>
        <w:rPr>
          <w:rFonts w:hint="eastAsia" w:ascii="仿宋" w:hAnsi="仿宋" w:eastAsia="仿宋" w:cs="仿宋"/>
          <w:color w:val="auto"/>
          <w:sz w:val="24"/>
          <w:szCs w:val="24"/>
          <w:highlight w:val="none"/>
          <w:u w:val="none"/>
          <w:lang w:eastAsia="zh-CN"/>
        </w:rPr>
        <w:t>千分之一</w:t>
      </w:r>
      <w:r>
        <w:rPr>
          <w:rFonts w:hint="eastAsia" w:ascii="仿宋" w:hAnsi="仿宋" w:eastAsia="仿宋" w:cs="仿宋"/>
          <w:color w:val="auto"/>
          <w:sz w:val="24"/>
          <w:szCs w:val="24"/>
          <w:highlight w:val="none"/>
          <w:lang w:eastAsia="zh-CN"/>
        </w:rPr>
        <w:t>）标准</w:t>
      </w:r>
      <w:r>
        <w:rPr>
          <w:rFonts w:hint="eastAsia" w:ascii="仿宋" w:hAnsi="仿宋" w:eastAsia="仿宋" w:cs="仿宋"/>
          <w:color w:val="auto"/>
          <w:sz w:val="24"/>
          <w:szCs w:val="24"/>
          <w:highlight w:val="none"/>
        </w:rPr>
        <w:t>向甲方支付违约金。</w:t>
      </w:r>
    </w:p>
    <w:p w14:paraId="2EAD47C8">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.3 如乙方单方解除合同或甲方因</w:t>
      </w:r>
      <w:r>
        <w:rPr>
          <w:rFonts w:hint="eastAsia" w:ascii="仿宋" w:hAnsi="仿宋" w:eastAsia="仿宋" w:cs="仿宋"/>
          <w:color w:val="auto"/>
          <w:sz w:val="24"/>
          <w:szCs w:val="24"/>
          <w:highlight w:val="none"/>
          <w:lang w:val="en-US" w:eastAsia="zh-CN"/>
        </w:rPr>
        <w:t>11.3情形</w:t>
      </w:r>
      <w:r>
        <w:rPr>
          <w:rFonts w:hint="eastAsia" w:ascii="仿宋" w:hAnsi="仿宋" w:eastAsia="仿宋" w:cs="仿宋"/>
          <w:color w:val="auto"/>
          <w:sz w:val="24"/>
          <w:szCs w:val="24"/>
          <w:highlight w:val="none"/>
        </w:rPr>
        <w:t>解除合同</w:t>
      </w:r>
      <w:r>
        <w:rPr>
          <w:rFonts w:hint="eastAsia" w:ascii="仿宋" w:hAnsi="仿宋" w:eastAsia="仿宋" w:cs="仿宋"/>
          <w:color w:val="auto"/>
          <w:sz w:val="24"/>
          <w:szCs w:val="24"/>
          <w:highlight w:val="none"/>
          <w:lang w:val="en-US" w:eastAsia="zh-CN"/>
        </w:rPr>
        <w:t>，乙方除赔偿甲方由此造成的全部损失（包括但不限于实际经济损失，因纠纷产生的律师费、诉讼费、差旅费、保全保险费等）外，还须按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none"/>
          <w:lang w:val="en-US"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元 ☑</w:t>
      </w:r>
      <w:r>
        <w:rPr>
          <w:rFonts w:hint="eastAsia" w:ascii="仿宋" w:hAnsi="仿宋" w:eastAsia="仿宋" w:cs="仿宋"/>
          <w:color w:val="auto"/>
          <w:sz w:val="24"/>
          <w:szCs w:val="24"/>
          <w:highlight w:val="none"/>
          <w:u w:val="none"/>
        </w:rPr>
        <w:t>本合同总价款30%</w:t>
      </w:r>
      <w:r>
        <w:rPr>
          <w:rFonts w:hint="eastAsia" w:ascii="仿宋" w:hAnsi="仿宋" w:eastAsia="仿宋" w:cs="仿宋"/>
          <w:color w:val="auto"/>
          <w:sz w:val="24"/>
          <w:szCs w:val="24"/>
          <w:highlight w:val="none"/>
          <w:u w:val="none"/>
          <w:lang w:eastAsia="zh-CN"/>
        </w:rPr>
        <w:t>）</w:t>
      </w:r>
      <w:r>
        <w:rPr>
          <w:rFonts w:hint="eastAsia" w:ascii="仿宋" w:hAnsi="仿宋" w:eastAsia="仿宋" w:cs="仿宋"/>
          <w:color w:val="auto"/>
          <w:sz w:val="24"/>
          <w:szCs w:val="24"/>
          <w:highlight w:val="none"/>
        </w:rPr>
        <w:t>标准</w:t>
      </w:r>
      <w:r>
        <w:rPr>
          <w:rFonts w:hint="eastAsia" w:ascii="仿宋" w:hAnsi="仿宋" w:eastAsia="仿宋" w:cs="仿宋"/>
          <w:color w:val="auto"/>
          <w:sz w:val="24"/>
          <w:szCs w:val="24"/>
          <w:highlight w:val="none"/>
          <w:lang w:val="en-US" w:eastAsia="zh-CN"/>
        </w:rPr>
        <w:t>向</w:t>
      </w:r>
      <w:r>
        <w:rPr>
          <w:rFonts w:hint="eastAsia" w:ascii="仿宋" w:hAnsi="仿宋" w:eastAsia="仿宋" w:cs="仿宋"/>
          <w:color w:val="auto"/>
          <w:sz w:val="24"/>
          <w:szCs w:val="24"/>
          <w:highlight w:val="none"/>
        </w:rPr>
        <w:t>甲方支付违约金。</w:t>
      </w:r>
    </w:p>
    <w:p w14:paraId="272FB34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2" w:firstLineChars="200"/>
        <w:jc w:val="both"/>
        <w:textAlignment w:val="auto"/>
        <w:rPr>
          <w:rFonts w:hint="eastAsia" w:ascii="仿宋" w:hAnsi="仿宋" w:eastAsia="仿宋" w:cs="仿宋"/>
          <w:b/>
          <w:bCs/>
          <w:color w:val="auto"/>
          <w:sz w:val="24"/>
          <w:szCs w:val="24"/>
          <w:highlight w:val="none"/>
          <w:u w:val="single"/>
          <w:lang w:val="en-US" w:eastAsia="zh-CN"/>
        </w:rPr>
      </w:pPr>
      <w:r>
        <w:rPr>
          <w:rFonts w:hint="eastAsia" w:ascii="仿宋" w:hAnsi="仿宋" w:eastAsia="仿宋" w:cs="仿宋"/>
          <w:b/>
          <w:bCs/>
          <w:color w:val="auto"/>
          <w:sz w:val="24"/>
          <w:szCs w:val="24"/>
          <w:highlight w:val="none"/>
          <w:u w:val="single"/>
          <w:lang w:val="en-US" w:eastAsia="zh-CN"/>
        </w:rPr>
        <w:t>12.4 无论甲方在任意时候（不限于本合同履行期间）发现存在违反本合同廉洁条款约定的行为，乙方均须向甲方一次性支付惩罚性违约金60000.00元。如乙方除需承担违反廉洁条款的违约责任外，同时存在其他违约行为，乙方仍须就其他违约行为承担相应违约责任。</w:t>
      </w:r>
    </w:p>
    <w:p w14:paraId="16C1473D">
      <w:pPr>
        <w:keepNext w:val="0"/>
        <w:keepLines w:val="0"/>
        <w:pageBreakBefore w:val="0"/>
        <w:widowControl w:val="0"/>
        <w:kinsoku/>
        <w:wordWrap/>
        <w:overflowPunct/>
        <w:topLinePunct w:val="0"/>
        <w:autoSpaceDE/>
        <w:autoSpaceDN/>
        <w:bidi w:val="0"/>
        <w:adjustRightInd/>
        <w:snapToGrid/>
        <w:spacing w:line="480" w:lineRule="exact"/>
        <w:ind w:leftChars="0" w:firstLine="482" w:firstLineChars="200"/>
        <w:textAlignment w:val="auto"/>
        <w:rPr>
          <w:rFonts w:hint="eastAsia" w:ascii="仿宋" w:hAnsi="仿宋" w:eastAsia="仿宋" w:cs="仿宋"/>
          <w:b/>
          <w:bCs/>
          <w:color w:val="auto"/>
          <w:sz w:val="24"/>
          <w:szCs w:val="24"/>
          <w:highlight w:val="none"/>
          <w:u w:val="single"/>
          <w:lang w:val="en-US" w:eastAsia="zh-CN"/>
        </w:rPr>
      </w:pPr>
      <w:r>
        <w:rPr>
          <w:rFonts w:hint="eastAsia" w:ascii="仿宋" w:hAnsi="仿宋" w:eastAsia="仿宋" w:cs="仿宋"/>
          <w:b/>
          <w:bCs/>
          <w:color w:val="auto"/>
          <w:sz w:val="24"/>
          <w:szCs w:val="24"/>
          <w:highlight w:val="none"/>
          <w:u w:val="single"/>
          <w:lang w:val="en-US" w:eastAsia="zh-CN"/>
        </w:rPr>
        <w:t>12.5 依据本合同约定乙方应支付给甲方的违约金，甲方有权在应支付给乙方的任意价款中直接予以扣除，如扣除部分不足，乙方应在接到甲方通知后3日内补足。</w:t>
      </w:r>
    </w:p>
    <w:p w14:paraId="4579029E">
      <w:pPr>
        <w:keepNext w:val="0"/>
        <w:keepLines w:val="0"/>
        <w:pageBreakBefore w:val="0"/>
        <w:widowControl w:val="0"/>
        <w:kinsoku/>
        <w:wordWrap/>
        <w:overflowPunct/>
        <w:topLinePunct w:val="0"/>
        <w:autoSpaceDE/>
        <w:autoSpaceDN/>
        <w:bidi w:val="0"/>
        <w:adjustRightInd/>
        <w:snapToGrid/>
        <w:spacing w:line="480" w:lineRule="exact"/>
        <w:ind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w:t>
      </w:r>
      <w:r>
        <w:rPr>
          <w:rFonts w:hint="eastAsia" w:ascii="仿宋" w:hAnsi="仿宋" w:eastAsia="仿宋" w:cs="仿宋"/>
          <w:b/>
          <w:bCs/>
          <w:color w:val="auto"/>
          <w:sz w:val="24"/>
          <w:szCs w:val="24"/>
          <w:highlight w:val="none"/>
          <w:lang w:val="en-US" w:eastAsia="zh-CN"/>
        </w:rPr>
        <w:t>十三</w:t>
      </w:r>
      <w:r>
        <w:rPr>
          <w:rFonts w:hint="eastAsia" w:ascii="仿宋" w:hAnsi="仿宋" w:eastAsia="仿宋" w:cs="仿宋"/>
          <w:b/>
          <w:bCs/>
          <w:color w:val="auto"/>
          <w:sz w:val="24"/>
          <w:szCs w:val="24"/>
          <w:highlight w:val="none"/>
        </w:rPr>
        <w:t>条 争议解决</w:t>
      </w:r>
    </w:p>
    <w:p w14:paraId="05603B79">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13.1 本合同适用中华人民共和国法律，并按其解释。</w:t>
      </w:r>
    </w:p>
    <w:p w14:paraId="6092692F">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13.2 </w:t>
      </w:r>
      <w:r>
        <w:rPr>
          <w:rFonts w:hint="eastAsia" w:ascii="仿宋" w:hAnsi="仿宋" w:eastAsia="仿宋" w:cs="仿宋"/>
          <w:color w:val="auto"/>
          <w:sz w:val="24"/>
          <w:szCs w:val="24"/>
          <w:highlight w:val="none"/>
        </w:rPr>
        <w:t>如双方在履行本合同过程中发生争议，双方应先协商解决，协商解决不成的，任一方均可向甲方所在地有管辖权的人民法院提起诉讼解决。</w:t>
      </w:r>
    </w:p>
    <w:p w14:paraId="2DF4A138">
      <w:pPr>
        <w:keepNext w:val="0"/>
        <w:keepLines w:val="0"/>
        <w:pageBreakBefore w:val="0"/>
        <w:widowControl w:val="0"/>
        <w:kinsoku/>
        <w:wordWrap/>
        <w:overflowPunct/>
        <w:topLinePunct w:val="0"/>
        <w:autoSpaceDE/>
        <w:autoSpaceDN/>
        <w:bidi w:val="0"/>
        <w:adjustRightInd/>
        <w:snapToGrid/>
        <w:spacing w:line="480" w:lineRule="exact"/>
        <w:ind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w:t>
      </w:r>
      <w:r>
        <w:rPr>
          <w:rFonts w:hint="eastAsia" w:ascii="仿宋" w:hAnsi="仿宋" w:eastAsia="仿宋" w:cs="仿宋"/>
          <w:b/>
          <w:bCs/>
          <w:color w:val="auto"/>
          <w:sz w:val="24"/>
          <w:szCs w:val="24"/>
          <w:highlight w:val="none"/>
          <w:lang w:val="en-US" w:eastAsia="zh-CN"/>
        </w:rPr>
        <w:t>四</w:t>
      </w:r>
      <w:r>
        <w:rPr>
          <w:rFonts w:hint="eastAsia" w:ascii="仿宋" w:hAnsi="仿宋" w:eastAsia="仿宋" w:cs="仿宋"/>
          <w:b/>
          <w:bCs/>
          <w:color w:val="auto"/>
          <w:sz w:val="24"/>
          <w:szCs w:val="24"/>
          <w:highlight w:val="none"/>
        </w:rPr>
        <w:t>条 附则</w:t>
      </w:r>
    </w:p>
    <w:p w14:paraId="4B0DA9AE">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 xml:space="preserve"> 本合同组成文件和优先解释顺序：</w:t>
      </w:r>
      <w:r>
        <w:rPr>
          <w:rFonts w:hint="eastAsia" w:ascii="仿宋" w:hAnsi="仿宋" w:eastAsia="仿宋" w:cs="仿宋"/>
          <w:color w:val="auto"/>
          <w:sz w:val="24"/>
          <w:szCs w:val="24"/>
          <w:highlight w:val="none"/>
          <w:lang w:eastAsia="zh-CN"/>
        </w:rPr>
        <w:t>乙方在履行本合同中作出的书面承诺；</w:t>
      </w:r>
      <w:r>
        <w:rPr>
          <w:rFonts w:hint="eastAsia" w:ascii="仿宋" w:hAnsi="仿宋" w:eastAsia="仿宋" w:cs="仿宋"/>
          <w:color w:val="auto"/>
          <w:sz w:val="24"/>
          <w:szCs w:val="24"/>
          <w:highlight w:val="none"/>
        </w:rPr>
        <w:t>本合同补充协议；本合同及附件；</w:t>
      </w:r>
      <w:r>
        <w:rPr>
          <w:rFonts w:hint="eastAsia" w:ascii="仿宋" w:hAnsi="仿宋" w:eastAsia="仿宋" w:cs="仿宋"/>
          <w:color w:val="auto"/>
          <w:sz w:val="24"/>
          <w:szCs w:val="24"/>
          <w:highlight w:val="none"/>
          <w:lang w:eastAsia="zh-CN"/>
        </w:rPr>
        <w:t>中标通知书</w:t>
      </w:r>
      <w:r>
        <w:rPr>
          <w:rFonts w:hint="eastAsia" w:ascii="仿宋" w:hAnsi="仿宋" w:eastAsia="仿宋" w:cs="仿宋"/>
          <w:color w:val="auto"/>
          <w:sz w:val="24"/>
          <w:szCs w:val="24"/>
          <w:highlight w:val="none"/>
          <w:lang w:val="en-US" w:eastAsia="zh-CN"/>
        </w:rPr>
        <w:t>/成交通知书/</w:t>
      </w:r>
      <w:r>
        <w:rPr>
          <w:rFonts w:hint="eastAsia" w:ascii="仿宋" w:hAnsi="仿宋" w:eastAsia="仿宋" w:cs="仿宋"/>
          <w:color w:val="auto"/>
          <w:sz w:val="24"/>
          <w:szCs w:val="24"/>
          <w:highlight w:val="none"/>
        </w:rPr>
        <w:t>议价结果公示</w:t>
      </w:r>
      <w:r>
        <w:rPr>
          <w:rFonts w:hint="eastAsia" w:ascii="仿宋" w:hAnsi="仿宋" w:eastAsia="仿宋" w:cs="仿宋"/>
          <w:color w:val="auto"/>
          <w:sz w:val="24"/>
          <w:szCs w:val="24"/>
          <w:highlight w:val="none"/>
          <w:lang w:val="en-US" w:eastAsia="zh-CN"/>
        </w:rPr>
        <w:t>/成交公告</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投标文件</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响应文件；</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采购文件</w:t>
      </w:r>
      <w:r>
        <w:rPr>
          <w:rFonts w:hint="eastAsia" w:ascii="仿宋" w:hAnsi="仿宋" w:eastAsia="仿宋" w:cs="仿宋"/>
          <w:color w:val="auto"/>
          <w:sz w:val="24"/>
          <w:szCs w:val="24"/>
          <w:highlight w:val="none"/>
          <w:lang w:val="en-US" w:eastAsia="zh-CN"/>
        </w:rPr>
        <w:t>/采购需求</w:t>
      </w:r>
      <w:r>
        <w:rPr>
          <w:rFonts w:hint="eastAsia" w:ascii="仿宋" w:hAnsi="仿宋" w:eastAsia="仿宋" w:cs="仿宋"/>
          <w:color w:val="auto"/>
          <w:sz w:val="24"/>
          <w:szCs w:val="24"/>
          <w:highlight w:val="none"/>
        </w:rPr>
        <w:t>；其他与本合同有关的资料。</w:t>
      </w:r>
    </w:p>
    <w:p w14:paraId="15B050DB">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 xml:space="preserve"> 本合同一式伍份，甲方执肆份、乙方执壹份，自双方签字并盖章</w:t>
      </w:r>
      <w:r>
        <w:rPr>
          <w:rFonts w:hint="eastAsia" w:ascii="仿宋" w:hAnsi="仿宋" w:eastAsia="仿宋" w:cs="仿宋"/>
          <w:color w:val="auto"/>
          <w:sz w:val="24"/>
          <w:szCs w:val="24"/>
          <w:highlight w:val="none"/>
          <w:lang w:eastAsia="zh-CN"/>
        </w:rPr>
        <w:t>后</w:t>
      </w:r>
      <w:r>
        <w:rPr>
          <w:rFonts w:hint="eastAsia" w:ascii="仿宋" w:hAnsi="仿宋" w:eastAsia="仿宋" w:cs="仿宋"/>
          <w:color w:val="auto"/>
          <w:sz w:val="24"/>
          <w:szCs w:val="24"/>
          <w:highlight w:val="none"/>
        </w:rPr>
        <w:t>生效。</w:t>
      </w:r>
    </w:p>
    <w:p w14:paraId="0FF45A12">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4"/>
          <w:szCs w:val="24"/>
          <w:highlight w:val="none"/>
        </w:rPr>
      </w:pPr>
    </w:p>
    <w:p w14:paraId="133B7CA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甲方（盖章）：娄底市中心医院        乙方（盖章）：</w:t>
      </w:r>
    </w:p>
    <w:p w14:paraId="5BA0AA3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color w:val="auto"/>
          <w:sz w:val="24"/>
          <w:szCs w:val="24"/>
          <w:highlight w:val="none"/>
        </w:rPr>
      </w:pPr>
    </w:p>
    <w:p w14:paraId="4250C21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法定代表人（签字）：                法定代表人（签字）：  </w:t>
      </w:r>
    </w:p>
    <w:p w14:paraId="4698AFC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color w:val="auto"/>
          <w:sz w:val="24"/>
          <w:szCs w:val="24"/>
          <w:highlight w:val="none"/>
        </w:rPr>
      </w:pPr>
    </w:p>
    <w:p w14:paraId="78ADFB9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或委托代理人（签字）：              或委托代理人（签字）：</w:t>
      </w:r>
    </w:p>
    <w:p w14:paraId="021204E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仿宋" w:hAnsi="仿宋" w:eastAsia="仿宋" w:cs="仿宋"/>
          <w:color w:val="auto"/>
          <w:sz w:val="24"/>
          <w:szCs w:val="24"/>
          <w:highlight w:val="none"/>
        </w:rPr>
      </w:pPr>
    </w:p>
    <w:p w14:paraId="4F709F7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合同签订地履行地：娄底市娄星区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签订时间：      年     月     日</w:t>
      </w:r>
    </w:p>
    <w:p w14:paraId="0C2418C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4"/>
          <w:szCs w:val="24"/>
          <w:highlight w:val="none"/>
        </w:rPr>
      </w:pPr>
    </w:p>
    <w:p w14:paraId="6DA07D3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4"/>
          <w:szCs w:val="24"/>
          <w:highlight w:val="none"/>
        </w:rPr>
      </w:pPr>
    </w:p>
    <w:p w14:paraId="1DD5C678">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4"/>
          <w:szCs w:val="24"/>
          <w:highlight w:val="none"/>
        </w:rPr>
      </w:pPr>
    </w:p>
    <w:p w14:paraId="5CA77C4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4"/>
          <w:szCs w:val="24"/>
          <w:highlight w:val="none"/>
        </w:rPr>
      </w:pPr>
    </w:p>
    <w:p w14:paraId="326FC33D">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44CFA4E8">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附件</w:t>
      </w:r>
    </w:p>
    <w:p w14:paraId="26788E2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eastAsia="zh-CN"/>
        </w:rPr>
        <w:t>维保设备清单</w:t>
      </w:r>
    </w:p>
    <w:tbl>
      <w:tblPr>
        <w:tblStyle w:val="11"/>
        <w:tblpPr w:leftFromText="180" w:rightFromText="180" w:vertAnchor="page" w:horzAnchor="page" w:tblpX="1674" w:tblpY="3177"/>
        <w:tblOverlap w:val="never"/>
        <w:tblW w:w="84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
        <w:gridCol w:w="2445"/>
        <w:gridCol w:w="1635"/>
        <w:gridCol w:w="825"/>
        <w:gridCol w:w="825"/>
        <w:gridCol w:w="705"/>
        <w:gridCol w:w="1170"/>
      </w:tblGrid>
      <w:tr w14:paraId="5D525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trPr>
        <w:tc>
          <w:tcPr>
            <w:tcW w:w="887" w:type="dxa"/>
            <w:tcBorders>
              <w:top w:val="single" w:color="auto" w:sz="4" w:space="0"/>
              <w:left w:val="single" w:color="auto" w:sz="4" w:space="0"/>
              <w:bottom w:val="single" w:color="auto" w:sz="4" w:space="0"/>
              <w:right w:val="single" w:color="auto" w:sz="4" w:space="0"/>
            </w:tcBorders>
            <w:noWrap/>
            <w:vAlign w:val="center"/>
          </w:tcPr>
          <w:p w14:paraId="39AC83CC">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2445" w:type="dxa"/>
            <w:tcBorders>
              <w:top w:val="single" w:color="auto" w:sz="4" w:space="0"/>
              <w:left w:val="single" w:color="auto" w:sz="4" w:space="0"/>
              <w:bottom w:val="single" w:color="auto" w:sz="4" w:space="0"/>
              <w:right w:val="single" w:color="auto" w:sz="4" w:space="0"/>
            </w:tcBorders>
            <w:noWrap/>
            <w:vAlign w:val="center"/>
          </w:tcPr>
          <w:p w14:paraId="5797882B">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设备名称</w:t>
            </w:r>
          </w:p>
        </w:tc>
        <w:tc>
          <w:tcPr>
            <w:tcW w:w="1635" w:type="dxa"/>
            <w:tcBorders>
              <w:top w:val="single" w:color="auto" w:sz="4" w:space="0"/>
              <w:left w:val="single" w:color="auto" w:sz="4" w:space="0"/>
              <w:bottom w:val="single" w:color="auto" w:sz="4" w:space="0"/>
              <w:right w:val="single" w:color="auto" w:sz="4" w:space="0"/>
            </w:tcBorders>
            <w:noWrap/>
            <w:vAlign w:val="center"/>
          </w:tcPr>
          <w:p w14:paraId="7C6ACFCC">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型    号</w:t>
            </w:r>
          </w:p>
        </w:tc>
        <w:tc>
          <w:tcPr>
            <w:tcW w:w="825" w:type="dxa"/>
            <w:tcBorders>
              <w:top w:val="single" w:color="auto" w:sz="4" w:space="0"/>
              <w:left w:val="single" w:color="auto" w:sz="4" w:space="0"/>
              <w:bottom w:val="single" w:color="auto" w:sz="4" w:space="0"/>
              <w:right w:val="single" w:color="auto" w:sz="4" w:space="0"/>
            </w:tcBorders>
            <w:noWrap/>
            <w:vAlign w:val="center"/>
          </w:tcPr>
          <w:p w14:paraId="5C0BE815">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w:t>
            </w:r>
          </w:p>
        </w:tc>
        <w:tc>
          <w:tcPr>
            <w:tcW w:w="825" w:type="dxa"/>
            <w:tcBorders>
              <w:top w:val="single" w:color="auto" w:sz="4" w:space="0"/>
              <w:left w:val="single" w:color="auto" w:sz="4" w:space="0"/>
              <w:bottom w:val="single" w:color="auto" w:sz="4" w:space="0"/>
              <w:right w:val="single" w:color="auto" w:sz="4" w:space="0"/>
            </w:tcBorders>
            <w:noWrap/>
            <w:vAlign w:val="center"/>
          </w:tcPr>
          <w:p w14:paraId="02CA6030">
            <w:pPr>
              <w:jc w:val="center"/>
              <w:rPr>
                <w:rFonts w:hint="eastAsia" w:ascii="仿宋" w:hAnsi="仿宋" w:eastAsia="仿宋" w:cs="仿宋"/>
                <w:color w:val="auto"/>
                <w:sz w:val="24"/>
                <w:szCs w:val="24"/>
              </w:rPr>
            </w:pPr>
            <w:r>
              <w:rPr>
                <w:rFonts w:hint="eastAsia" w:ascii="仿宋" w:hAnsi="仿宋" w:eastAsia="仿宋" w:cs="仿宋"/>
                <w:color w:val="auto"/>
                <w:sz w:val="24"/>
                <w:szCs w:val="24"/>
              </w:rPr>
              <w:t>产地</w:t>
            </w:r>
          </w:p>
        </w:tc>
        <w:tc>
          <w:tcPr>
            <w:tcW w:w="705" w:type="dxa"/>
            <w:tcBorders>
              <w:top w:val="single" w:color="auto" w:sz="4" w:space="0"/>
              <w:left w:val="single" w:color="auto" w:sz="4" w:space="0"/>
              <w:bottom w:val="single" w:color="auto" w:sz="4" w:space="0"/>
              <w:right w:val="single" w:color="auto" w:sz="4" w:space="0"/>
            </w:tcBorders>
            <w:noWrap/>
            <w:vAlign w:val="center"/>
          </w:tcPr>
          <w:p w14:paraId="6206D910">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单位</w:t>
            </w:r>
          </w:p>
        </w:tc>
        <w:tc>
          <w:tcPr>
            <w:tcW w:w="1170" w:type="dxa"/>
            <w:tcBorders>
              <w:top w:val="single" w:color="auto" w:sz="4" w:space="0"/>
              <w:left w:val="single" w:color="auto" w:sz="4" w:space="0"/>
              <w:bottom w:val="single" w:color="auto" w:sz="4" w:space="0"/>
              <w:right w:val="single" w:color="auto" w:sz="4" w:space="0"/>
            </w:tcBorders>
            <w:noWrap/>
            <w:vAlign w:val="center"/>
          </w:tcPr>
          <w:p w14:paraId="685CBD83">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r>
      <w:tr w14:paraId="04760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887" w:type="dxa"/>
            <w:tcBorders>
              <w:top w:val="single" w:color="auto" w:sz="4" w:space="0"/>
              <w:left w:val="single" w:color="auto" w:sz="4" w:space="0"/>
              <w:bottom w:val="single" w:color="auto" w:sz="4" w:space="0"/>
              <w:right w:val="single" w:color="auto" w:sz="4" w:space="0"/>
            </w:tcBorders>
            <w:noWrap/>
            <w:vAlign w:val="center"/>
          </w:tcPr>
          <w:p w14:paraId="744E759B">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2445" w:type="dxa"/>
            <w:tcBorders>
              <w:top w:val="single" w:color="auto" w:sz="4" w:space="0"/>
              <w:left w:val="single" w:color="auto" w:sz="4" w:space="0"/>
              <w:bottom w:val="single" w:color="auto" w:sz="4" w:space="0"/>
              <w:right w:val="single" w:color="auto" w:sz="4" w:space="0"/>
            </w:tcBorders>
            <w:noWrap/>
            <w:vAlign w:val="center"/>
          </w:tcPr>
          <w:p w14:paraId="7D9A7C41">
            <w:p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快速发药系统</w:t>
            </w:r>
          </w:p>
        </w:tc>
        <w:tc>
          <w:tcPr>
            <w:tcW w:w="1635" w:type="dxa"/>
            <w:tcBorders>
              <w:top w:val="single" w:color="auto" w:sz="4" w:space="0"/>
              <w:left w:val="single" w:color="auto" w:sz="4" w:space="0"/>
              <w:bottom w:val="single" w:color="auto" w:sz="4" w:space="0"/>
              <w:right w:val="single" w:color="auto" w:sz="4" w:space="0"/>
            </w:tcBorders>
            <w:noWrap/>
            <w:vAlign w:val="center"/>
          </w:tcPr>
          <w:p w14:paraId="32CF1B9E">
            <w:p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IRON-1200</w:t>
            </w:r>
          </w:p>
        </w:tc>
        <w:tc>
          <w:tcPr>
            <w:tcW w:w="825" w:type="dxa"/>
            <w:tcBorders>
              <w:top w:val="single" w:color="auto" w:sz="4" w:space="0"/>
              <w:left w:val="single" w:color="auto" w:sz="4" w:space="0"/>
              <w:bottom w:val="single" w:color="auto" w:sz="4" w:space="0"/>
              <w:right w:val="single" w:color="auto" w:sz="4" w:space="0"/>
            </w:tcBorders>
            <w:noWrap/>
            <w:vAlign w:val="center"/>
          </w:tcPr>
          <w:p w14:paraId="33B230E2">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艾隆</w:t>
            </w:r>
          </w:p>
        </w:tc>
        <w:tc>
          <w:tcPr>
            <w:tcW w:w="825" w:type="dxa"/>
            <w:tcBorders>
              <w:top w:val="single" w:color="auto" w:sz="4" w:space="0"/>
              <w:left w:val="single" w:color="auto" w:sz="4" w:space="0"/>
              <w:bottom w:val="single" w:color="auto" w:sz="4" w:space="0"/>
              <w:right w:val="single" w:color="auto" w:sz="4" w:space="0"/>
            </w:tcBorders>
            <w:noWrap/>
            <w:vAlign w:val="center"/>
          </w:tcPr>
          <w:p w14:paraId="30B374E8">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苏州</w:t>
            </w:r>
          </w:p>
        </w:tc>
        <w:tc>
          <w:tcPr>
            <w:tcW w:w="705" w:type="dxa"/>
            <w:tcBorders>
              <w:top w:val="single" w:color="auto" w:sz="4" w:space="0"/>
              <w:left w:val="single" w:color="auto" w:sz="4" w:space="0"/>
              <w:bottom w:val="single" w:color="auto" w:sz="4" w:space="0"/>
              <w:right w:val="single" w:color="auto" w:sz="4" w:space="0"/>
            </w:tcBorders>
            <w:noWrap/>
            <w:vAlign w:val="center"/>
          </w:tcPr>
          <w:p w14:paraId="68DCFDBB">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台</w:t>
            </w:r>
          </w:p>
        </w:tc>
        <w:tc>
          <w:tcPr>
            <w:tcW w:w="1170" w:type="dxa"/>
            <w:tcBorders>
              <w:top w:val="single" w:color="auto" w:sz="4" w:space="0"/>
              <w:left w:val="single" w:color="auto" w:sz="4" w:space="0"/>
              <w:bottom w:val="single" w:color="auto" w:sz="4" w:space="0"/>
              <w:right w:val="single" w:color="auto" w:sz="4" w:space="0"/>
            </w:tcBorders>
            <w:noWrap/>
            <w:vAlign w:val="center"/>
          </w:tcPr>
          <w:p w14:paraId="601E0362">
            <w:pPr>
              <w:spacing w:line="240" w:lineRule="auto"/>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1</w:t>
            </w:r>
          </w:p>
        </w:tc>
      </w:tr>
      <w:tr w14:paraId="4EC23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887" w:type="dxa"/>
            <w:tcBorders>
              <w:top w:val="single" w:color="auto" w:sz="4" w:space="0"/>
              <w:left w:val="single" w:color="auto" w:sz="4" w:space="0"/>
              <w:bottom w:val="single" w:color="auto" w:sz="4" w:space="0"/>
              <w:right w:val="single" w:color="auto" w:sz="4" w:space="0"/>
            </w:tcBorders>
            <w:noWrap/>
            <w:vAlign w:val="center"/>
          </w:tcPr>
          <w:p w14:paraId="2999A4D3">
            <w:pPr>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2445" w:type="dxa"/>
            <w:tcBorders>
              <w:top w:val="single" w:color="auto" w:sz="4" w:space="0"/>
              <w:left w:val="single" w:color="auto" w:sz="4" w:space="0"/>
              <w:bottom w:val="single" w:color="auto" w:sz="4" w:space="0"/>
              <w:right w:val="single" w:color="auto" w:sz="4" w:space="0"/>
            </w:tcBorders>
            <w:noWrap/>
            <w:vAlign w:val="center"/>
          </w:tcPr>
          <w:p w14:paraId="3083443A">
            <w:p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智能调配机</w:t>
            </w:r>
          </w:p>
        </w:tc>
        <w:tc>
          <w:tcPr>
            <w:tcW w:w="1635" w:type="dxa"/>
            <w:tcBorders>
              <w:top w:val="single" w:color="auto" w:sz="4" w:space="0"/>
              <w:left w:val="single" w:color="auto" w:sz="4" w:space="0"/>
              <w:bottom w:val="single" w:color="auto" w:sz="4" w:space="0"/>
              <w:right w:val="single" w:color="auto" w:sz="4" w:space="0"/>
            </w:tcBorders>
            <w:noWrap/>
            <w:vAlign w:val="center"/>
          </w:tcPr>
          <w:p w14:paraId="0B2EBDDF">
            <w:p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IRON-108</w:t>
            </w:r>
          </w:p>
        </w:tc>
        <w:tc>
          <w:tcPr>
            <w:tcW w:w="825" w:type="dxa"/>
            <w:tcBorders>
              <w:top w:val="single" w:color="auto" w:sz="4" w:space="0"/>
              <w:left w:val="single" w:color="auto" w:sz="4" w:space="0"/>
              <w:bottom w:val="single" w:color="auto" w:sz="4" w:space="0"/>
              <w:right w:val="single" w:color="auto" w:sz="4" w:space="0"/>
            </w:tcBorders>
            <w:noWrap/>
            <w:vAlign w:val="center"/>
          </w:tcPr>
          <w:p w14:paraId="325657B5">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艾隆</w:t>
            </w:r>
          </w:p>
        </w:tc>
        <w:tc>
          <w:tcPr>
            <w:tcW w:w="825" w:type="dxa"/>
            <w:tcBorders>
              <w:top w:val="single" w:color="auto" w:sz="4" w:space="0"/>
              <w:left w:val="single" w:color="auto" w:sz="4" w:space="0"/>
              <w:bottom w:val="single" w:color="auto" w:sz="4" w:space="0"/>
              <w:right w:val="single" w:color="auto" w:sz="4" w:space="0"/>
            </w:tcBorders>
            <w:noWrap/>
            <w:vAlign w:val="center"/>
          </w:tcPr>
          <w:p w14:paraId="68FC591A">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苏州</w:t>
            </w:r>
          </w:p>
        </w:tc>
        <w:tc>
          <w:tcPr>
            <w:tcW w:w="705" w:type="dxa"/>
            <w:tcBorders>
              <w:top w:val="single" w:color="auto" w:sz="4" w:space="0"/>
              <w:left w:val="single" w:color="auto" w:sz="4" w:space="0"/>
              <w:bottom w:val="single" w:color="auto" w:sz="4" w:space="0"/>
              <w:right w:val="single" w:color="auto" w:sz="4" w:space="0"/>
            </w:tcBorders>
            <w:noWrap/>
            <w:vAlign w:val="center"/>
          </w:tcPr>
          <w:p w14:paraId="7733D43C">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台</w:t>
            </w:r>
          </w:p>
        </w:tc>
        <w:tc>
          <w:tcPr>
            <w:tcW w:w="1170" w:type="dxa"/>
            <w:tcBorders>
              <w:top w:val="single" w:color="auto" w:sz="4" w:space="0"/>
              <w:left w:val="single" w:color="auto" w:sz="4" w:space="0"/>
              <w:bottom w:val="single" w:color="auto" w:sz="4" w:space="0"/>
              <w:right w:val="single" w:color="auto" w:sz="4" w:space="0"/>
            </w:tcBorders>
            <w:noWrap/>
            <w:vAlign w:val="center"/>
          </w:tcPr>
          <w:p w14:paraId="34F4918C">
            <w:pPr>
              <w:spacing w:line="240" w:lineRule="auto"/>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2</w:t>
            </w:r>
          </w:p>
        </w:tc>
      </w:tr>
      <w:tr w14:paraId="711EC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887" w:type="dxa"/>
            <w:tcBorders>
              <w:top w:val="single" w:color="auto" w:sz="4" w:space="0"/>
              <w:left w:val="single" w:color="auto" w:sz="4" w:space="0"/>
              <w:bottom w:val="single" w:color="auto" w:sz="4" w:space="0"/>
              <w:right w:val="single" w:color="auto" w:sz="4" w:space="0"/>
            </w:tcBorders>
            <w:noWrap/>
            <w:vAlign w:val="center"/>
          </w:tcPr>
          <w:p w14:paraId="1CE6899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2445" w:type="dxa"/>
            <w:tcBorders>
              <w:top w:val="single" w:color="auto" w:sz="4" w:space="0"/>
              <w:left w:val="single" w:color="auto" w:sz="4" w:space="0"/>
              <w:bottom w:val="single" w:color="auto" w:sz="4" w:space="0"/>
              <w:right w:val="single" w:color="auto" w:sz="4" w:space="0"/>
            </w:tcBorders>
            <w:noWrap/>
            <w:vAlign w:val="center"/>
          </w:tcPr>
          <w:p w14:paraId="78079D36">
            <w:p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独立高速发药机</w:t>
            </w:r>
          </w:p>
        </w:tc>
        <w:tc>
          <w:tcPr>
            <w:tcW w:w="1635" w:type="dxa"/>
            <w:tcBorders>
              <w:top w:val="single" w:color="auto" w:sz="4" w:space="0"/>
              <w:left w:val="single" w:color="auto" w:sz="4" w:space="0"/>
              <w:bottom w:val="single" w:color="auto" w:sz="4" w:space="0"/>
              <w:right w:val="single" w:color="auto" w:sz="4" w:space="0"/>
            </w:tcBorders>
            <w:noWrap/>
            <w:vAlign w:val="center"/>
          </w:tcPr>
          <w:p w14:paraId="06EDDD14">
            <w:p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IRON-G</w:t>
            </w:r>
            <w:r>
              <w:rPr>
                <w:rFonts w:hint="eastAsia" w:ascii="仿宋" w:hAnsi="仿宋" w:eastAsia="仿宋" w:cs="仿宋"/>
                <w:color w:val="auto"/>
                <w:sz w:val="24"/>
                <w:szCs w:val="24"/>
                <w:lang w:val="en-US" w:eastAsia="zh-CN"/>
              </w:rPr>
              <w:t>100</w:t>
            </w:r>
          </w:p>
        </w:tc>
        <w:tc>
          <w:tcPr>
            <w:tcW w:w="825" w:type="dxa"/>
            <w:tcBorders>
              <w:top w:val="single" w:color="auto" w:sz="4" w:space="0"/>
              <w:left w:val="single" w:color="auto" w:sz="4" w:space="0"/>
              <w:bottom w:val="single" w:color="auto" w:sz="4" w:space="0"/>
              <w:right w:val="single" w:color="auto" w:sz="4" w:space="0"/>
            </w:tcBorders>
            <w:noWrap/>
            <w:vAlign w:val="center"/>
          </w:tcPr>
          <w:p w14:paraId="6FBCFA86">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艾隆</w:t>
            </w:r>
          </w:p>
        </w:tc>
        <w:tc>
          <w:tcPr>
            <w:tcW w:w="825" w:type="dxa"/>
            <w:tcBorders>
              <w:top w:val="single" w:color="auto" w:sz="4" w:space="0"/>
              <w:left w:val="single" w:color="auto" w:sz="4" w:space="0"/>
              <w:bottom w:val="single" w:color="auto" w:sz="4" w:space="0"/>
              <w:right w:val="single" w:color="auto" w:sz="4" w:space="0"/>
            </w:tcBorders>
            <w:noWrap/>
            <w:vAlign w:val="center"/>
          </w:tcPr>
          <w:p w14:paraId="45E22295">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苏州</w:t>
            </w:r>
          </w:p>
        </w:tc>
        <w:tc>
          <w:tcPr>
            <w:tcW w:w="705" w:type="dxa"/>
            <w:tcBorders>
              <w:top w:val="single" w:color="auto" w:sz="4" w:space="0"/>
              <w:left w:val="single" w:color="auto" w:sz="4" w:space="0"/>
              <w:bottom w:val="single" w:color="auto" w:sz="4" w:space="0"/>
              <w:right w:val="single" w:color="auto" w:sz="4" w:space="0"/>
            </w:tcBorders>
            <w:noWrap/>
            <w:vAlign w:val="center"/>
          </w:tcPr>
          <w:p w14:paraId="76A62A21">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台</w:t>
            </w:r>
          </w:p>
        </w:tc>
        <w:tc>
          <w:tcPr>
            <w:tcW w:w="1170" w:type="dxa"/>
            <w:tcBorders>
              <w:top w:val="single" w:color="auto" w:sz="4" w:space="0"/>
              <w:left w:val="single" w:color="auto" w:sz="4" w:space="0"/>
              <w:bottom w:val="single" w:color="auto" w:sz="4" w:space="0"/>
              <w:right w:val="single" w:color="auto" w:sz="4" w:space="0"/>
            </w:tcBorders>
            <w:noWrap/>
            <w:vAlign w:val="center"/>
          </w:tcPr>
          <w:p w14:paraId="2EC2842C">
            <w:pPr>
              <w:spacing w:line="24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p>
        </w:tc>
      </w:tr>
      <w:tr w14:paraId="57EAA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887" w:type="dxa"/>
            <w:tcBorders>
              <w:top w:val="single" w:color="auto" w:sz="4" w:space="0"/>
              <w:left w:val="single" w:color="auto" w:sz="4" w:space="0"/>
              <w:bottom w:val="single" w:color="auto" w:sz="4" w:space="0"/>
              <w:right w:val="single" w:color="auto" w:sz="4" w:space="0"/>
            </w:tcBorders>
            <w:noWrap/>
            <w:vAlign w:val="center"/>
          </w:tcPr>
          <w:p w14:paraId="75BF5FC5">
            <w:pPr>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2445" w:type="dxa"/>
            <w:tcBorders>
              <w:top w:val="single" w:color="auto" w:sz="4" w:space="0"/>
              <w:left w:val="single" w:color="auto" w:sz="4" w:space="0"/>
              <w:bottom w:val="single" w:color="auto" w:sz="4" w:space="0"/>
              <w:right w:val="single" w:color="auto" w:sz="4" w:space="0"/>
            </w:tcBorders>
            <w:noWrap/>
            <w:vAlign w:val="center"/>
          </w:tcPr>
          <w:p w14:paraId="2E4B1B8C">
            <w:p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嵌入式高速发药机</w:t>
            </w:r>
          </w:p>
        </w:tc>
        <w:tc>
          <w:tcPr>
            <w:tcW w:w="1635" w:type="dxa"/>
            <w:tcBorders>
              <w:top w:val="single" w:color="auto" w:sz="4" w:space="0"/>
              <w:left w:val="single" w:color="auto" w:sz="4" w:space="0"/>
              <w:bottom w:val="single" w:color="auto" w:sz="4" w:space="0"/>
              <w:right w:val="single" w:color="auto" w:sz="4" w:space="0"/>
            </w:tcBorders>
            <w:noWrap/>
            <w:vAlign w:val="center"/>
          </w:tcPr>
          <w:p w14:paraId="499677FA">
            <w:p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IRON-G46</w:t>
            </w:r>
          </w:p>
        </w:tc>
        <w:tc>
          <w:tcPr>
            <w:tcW w:w="825" w:type="dxa"/>
            <w:tcBorders>
              <w:top w:val="single" w:color="auto" w:sz="4" w:space="0"/>
              <w:left w:val="single" w:color="auto" w:sz="4" w:space="0"/>
              <w:bottom w:val="single" w:color="auto" w:sz="4" w:space="0"/>
              <w:right w:val="single" w:color="auto" w:sz="4" w:space="0"/>
            </w:tcBorders>
            <w:noWrap/>
            <w:vAlign w:val="center"/>
          </w:tcPr>
          <w:p w14:paraId="72F93EEF">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艾隆</w:t>
            </w:r>
          </w:p>
        </w:tc>
        <w:tc>
          <w:tcPr>
            <w:tcW w:w="825" w:type="dxa"/>
            <w:tcBorders>
              <w:top w:val="single" w:color="auto" w:sz="4" w:space="0"/>
              <w:left w:val="single" w:color="auto" w:sz="4" w:space="0"/>
              <w:bottom w:val="single" w:color="auto" w:sz="4" w:space="0"/>
              <w:right w:val="single" w:color="auto" w:sz="4" w:space="0"/>
            </w:tcBorders>
            <w:noWrap/>
            <w:vAlign w:val="center"/>
          </w:tcPr>
          <w:p w14:paraId="084C9B6F">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苏州</w:t>
            </w:r>
          </w:p>
        </w:tc>
        <w:tc>
          <w:tcPr>
            <w:tcW w:w="705" w:type="dxa"/>
            <w:tcBorders>
              <w:top w:val="single" w:color="auto" w:sz="4" w:space="0"/>
              <w:left w:val="single" w:color="auto" w:sz="4" w:space="0"/>
              <w:bottom w:val="single" w:color="auto" w:sz="4" w:space="0"/>
              <w:right w:val="single" w:color="auto" w:sz="4" w:space="0"/>
            </w:tcBorders>
            <w:noWrap/>
            <w:vAlign w:val="center"/>
          </w:tcPr>
          <w:p w14:paraId="0CAB9705">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套</w:t>
            </w:r>
          </w:p>
        </w:tc>
        <w:tc>
          <w:tcPr>
            <w:tcW w:w="1170" w:type="dxa"/>
            <w:tcBorders>
              <w:top w:val="single" w:color="auto" w:sz="4" w:space="0"/>
              <w:left w:val="single" w:color="auto" w:sz="4" w:space="0"/>
              <w:bottom w:val="single" w:color="auto" w:sz="4" w:space="0"/>
              <w:right w:val="single" w:color="auto" w:sz="4" w:space="0"/>
            </w:tcBorders>
            <w:noWrap/>
            <w:vAlign w:val="center"/>
          </w:tcPr>
          <w:p w14:paraId="207D57E8">
            <w:pPr>
              <w:spacing w:line="240" w:lineRule="auto"/>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1</w:t>
            </w:r>
          </w:p>
        </w:tc>
      </w:tr>
      <w:tr w14:paraId="768C6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887" w:type="dxa"/>
            <w:tcBorders>
              <w:top w:val="single" w:color="auto" w:sz="4" w:space="0"/>
              <w:left w:val="single" w:color="auto" w:sz="4" w:space="0"/>
              <w:bottom w:val="single" w:color="auto" w:sz="4" w:space="0"/>
              <w:right w:val="single" w:color="auto" w:sz="4" w:space="0"/>
            </w:tcBorders>
            <w:noWrap/>
            <w:vAlign w:val="center"/>
          </w:tcPr>
          <w:p w14:paraId="060852AB">
            <w:pPr>
              <w:jc w:val="center"/>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tcW w:w="2445" w:type="dxa"/>
            <w:tcBorders>
              <w:top w:val="single" w:color="auto" w:sz="4" w:space="0"/>
              <w:left w:val="single" w:color="auto" w:sz="4" w:space="0"/>
              <w:bottom w:val="single" w:color="auto" w:sz="4" w:space="0"/>
              <w:right w:val="single" w:color="auto" w:sz="4" w:space="0"/>
            </w:tcBorders>
            <w:noWrap/>
            <w:vAlign w:val="center"/>
          </w:tcPr>
          <w:p w14:paraId="3CF38D6F">
            <w:p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全自动发筐机</w:t>
            </w:r>
          </w:p>
        </w:tc>
        <w:tc>
          <w:tcPr>
            <w:tcW w:w="1635" w:type="dxa"/>
            <w:tcBorders>
              <w:top w:val="single" w:color="auto" w:sz="4" w:space="0"/>
              <w:left w:val="single" w:color="auto" w:sz="4" w:space="0"/>
              <w:bottom w:val="single" w:color="auto" w:sz="4" w:space="0"/>
              <w:right w:val="single" w:color="auto" w:sz="4" w:space="0"/>
            </w:tcBorders>
            <w:noWrap/>
            <w:vAlign w:val="center"/>
          </w:tcPr>
          <w:p w14:paraId="35598F91">
            <w:p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IRON-FK18</w:t>
            </w:r>
          </w:p>
        </w:tc>
        <w:tc>
          <w:tcPr>
            <w:tcW w:w="825" w:type="dxa"/>
            <w:tcBorders>
              <w:top w:val="single" w:color="auto" w:sz="4" w:space="0"/>
              <w:left w:val="single" w:color="auto" w:sz="4" w:space="0"/>
              <w:bottom w:val="single" w:color="auto" w:sz="4" w:space="0"/>
              <w:right w:val="single" w:color="auto" w:sz="4" w:space="0"/>
            </w:tcBorders>
            <w:noWrap/>
            <w:vAlign w:val="center"/>
          </w:tcPr>
          <w:p w14:paraId="1AA9172B">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艾隆</w:t>
            </w:r>
          </w:p>
        </w:tc>
        <w:tc>
          <w:tcPr>
            <w:tcW w:w="825" w:type="dxa"/>
            <w:tcBorders>
              <w:top w:val="single" w:color="auto" w:sz="4" w:space="0"/>
              <w:left w:val="single" w:color="auto" w:sz="4" w:space="0"/>
              <w:bottom w:val="single" w:color="auto" w:sz="4" w:space="0"/>
              <w:right w:val="single" w:color="auto" w:sz="4" w:space="0"/>
            </w:tcBorders>
            <w:noWrap/>
            <w:vAlign w:val="center"/>
          </w:tcPr>
          <w:p w14:paraId="680A3EE0">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苏州</w:t>
            </w:r>
          </w:p>
        </w:tc>
        <w:tc>
          <w:tcPr>
            <w:tcW w:w="705" w:type="dxa"/>
            <w:tcBorders>
              <w:top w:val="single" w:color="auto" w:sz="4" w:space="0"/>
              <w:left w:val="single" w:color="auto" w:sz="4" w:space="0"/>
              <w:bottom w:val="single" w:color="auto" w:sz="4" w:space="0"/>
              <w:right w:val="single" w:color="auto" w:sz="4" w:space="0"/>
            </w:tcBorders>
            <w:noWrap/>
            <w:vAlign w:val="center"/>
          </w:tcPr>
          <w:p w14:paraId="2A85D684">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套</w:t>
            </w:r>
          </w:p>
        </w:tc>
        <w:tc>
          <w:tcPr>
            <w:tcW w:w="1170" w:type="dxa"/>
            <w:tcBorders>
              <w:top w:val="single" w:color="auto" w:sz="4" w:space="0"/>
              <w:left w:val="single" w:color="auto" w:sz="4" w:space="0"/>
              <w:bottom w:val="single" w:color="auto" w:sz="4" w:space="0"/>
              <w:right w:val="single" w:color="auto" w:sz="4" w:space="0"/>
            </w:tcBorders>
            <w:noWrap/>
            <w:vAlign w:val="center"/>
          </w:tcPr>
          <w:p w14:paraId="456B0588">
            <w:pPr>
              <w:spacing w:line="240" w:lineRule="auto"/>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2</w:t>
            </w:r>
          </w:p>
        </w:tc>
      </w:tr>
      <w:tr w14:paraId="4C797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887" w:type="dxa"/>
            <w:tcBorders>
              <w:top w:val="single" w:color="auto" w:sz="4" w:space="0"/>
              <w:left w:val="single" w:color="auto" w:sz="4" w:space="0"/>
              <w:bottom w:val="single" w:color="auto" w:sz="4" w:space="0"/>
              <w:right w:val="single" w:color="auto" w:sz="4" w:space="0"/>
            </w:tcBorders>
            <w:noWrap/>
            <w:vAlign w:val="center"/>
          </w:tcPr>
          <w:p w14:paraId="21E7323A">
            <w:pPr>
              <w:jc w:val="center"/>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tcW w:w="2445" w:type="dxa"/>
            <w:tcBorders>
              <w:top w:val="single" w:color="auto" w:sz="4" w:space="0"/>
              <w:left w:val="single" w:color="auto" w:sz="4" w:space="0"/>
              <w:bottom w:val="single" w:color="auto" w:sz="4" w:space="0"/>
              <w:right w:val="single" w:color="auto" w:sz="4" w:space="0"/>
            </w:tcBorders>
            <w:noWrap/>
            <w:vAlign w:val="center"/>
          </w:tcPr>
          <w:p w14:paraId="7BB6319C">
            <w:p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整处方传输传送</w:t>
            </w:r>
          </w:p>
        </w:tc>
        <w:tc>
          <w:tcPr>
            <w:tcW w:w="1635" w:type="dxa"/>
            <w:tcBorders>
              <w:top w:val="single" w:color="auto" w:sz="4" w:space="0"/>
              <w:left w:val="single" w:color="auto" w:sz="4" w:space="0"/>
              <w:bottom w:val="single" w:color="auto" w:sz="4" w:space="0"/>
              <w:right w:val="single" w:color="auto" w:sz="4" w:space="0"/>
            </w:tcBorders>
            <w:noWrap/>
            <w:vAlign w:val="center"/>
          </w:tcPr>
          <w:p w14:paraId="2187976C">
            <w:p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IRON-ZCF</w:t>
            </w:r>
          </w:p>
        </w:tc>
        <w:tc>
          <w:tcPr>
            <w:tcW w:w="825" w:type="dxa"/>
            <w:tcBorders>
              <w:top w:val="single" w:color="auto" w:sz="4" w:space="0"/>
              <w:left w:val="single" w:color="auto" w:sz="4" w:space="0"/>
              <w:bottom w:val="single" w:color="auto" w:sz="4" w:space="0"/>
              <w:right w:val="single" w:color="auto" w:sz="4" w:space="0"/>
            </w:tcBorders>
            <w:noWrap/>
            <w:vAlign w:val="center"/>
          </w:tcPr>
          <w:p w14:paraId="505AE520">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艾隆</w:t>
            </w:r>
          </w:p>
        </w:tc>
        <w:tc>
          <w:tcPr>
            <w:tcW w:w="825" w:type="dxa"/>
            <w:tcBorders>
              <w:top w:val="single" w:color="auto" w:sz="4" w:space="0"/>
              <w:left w:val="single" w:color="auto" w:sz="4" w:space="0"/>
              <w:bottom w:val="single" w:color="auto" w:sz="4" w:space="0"/>
              <w:right w:val="single" w:color="auto" w:sz="4" w:space="0"/>
            </w:tcBorders>
            <w:noWrap/>
            <w:vAlign w:val="center"/>
          </w:tcPr>
          <w:p w14:paraId="0CFD2B23">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苏州</w:t>
            </w:r>
          </w:p>
        </w:tc>
        <w:tc>
          <w:tcPr>
            <w:tcW w:w="705" w:type="dxa"/>
            <w:tcBorders>
              <w:top w:val="single" w:color="auto" w:sz="4" w:space="0"/>
              <w:left w:val="single" w:color="auto" w:sz="4" w:space="0"/>
              <w:bottom w:val="single" w:color="auto" w:sz="4" w:space="0"/>
              <w:right w:val="single" w:color="auto" w:sz="4" w:space="0"/>
            </w:tcBorders>
            <w:noWrap/>
            <w:vAlign w:val="center"/>
          </w:tcPr>
          <w:p w14:paraId="60A150BB">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台</w:t>
            </w:r>
          </w:p>
        </w:tc>
        <w:tc>
          <w:tcPr>
            <w:tcW w:w="1170" w:type="dxa"/>
            <w:tcBorders>
              <w:top w:val="single" w:color="auto" w:sz="4" w:space="0"/>
              <w:left w:val="single" w:color="auto" w:sz="4" w:space="0"/>
              <w:bottom w:val="single" w:color="auto" w:sz="4" w:space="0"/>
              <w:right w:val="single" w:color="auto" w:sz="4" w:space="0"/>
            </w:tcBorders>
            <w:noWrap/>
            <w:vAlign w:val="center"/>
          </w:tcPr>
          <w:p w14:paraId="7208D2BD">
            <w:pPr>
              <w:spacing w:line="240" w:lineRule="auto"/>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1</w:t>
            </w:r>
          </w:p>
        </w:tc>
      </w:tr>
      <w:tr w14:paraId="12414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887" w:type="dxa"/>
            <w:tcBorders>
              <w:top w:val="single" w:color="auto" w:sz="4" w:space="0"/>
              <w:left w:val="single" w:color="auto" w:sz="4" w:space="0"/>
              <w:bottom w:val="single" w:color="auto" w:sz="4" w:space="0"/>
              <w:right w:val="single" w:color="auto" w:sz="4" w:space="0"/>
            </w:tcBorders>
            <w:noWrap/>
            <w:vAlign w:val="center"/>
          </w:tcPr>
          <w:p w14:paraId="21CFE16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7</w:t>
            </w:r>
          </w:p>
        </w:tc>
        <w:tc>
          <w:tcPr>
            <w:tcW w:w="2445" w:type="dxa"/>
            <w:tcBorders>
              <w:top w:val="single" w:color="auto" w:sz="4" w:space="0"/>
              <w:left w:val="single" w:color="auto" w:sz="4" w:space="0"/>
              <w:bottom w:val="single" w:color="auto" w:sz="4" w:space="0"/>
              <w:right w:val="single" w:color="auto" w:sz="4" w:space="0"/>
            </w:tcBorders>
            <w:noWrap/>
            <w:vAlign w:val="center"/>
          </w:tcPr>
          <w:p w14:paraId="40F02DF0">
            <w:p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智能前台</w:t>
            </w:r>
            <w:r>
              <w:rPr>
                <w:rFonts w:hint="eastAsia" w:ascii="仿宋" w:hAnsi="仿宋" w:eastAsia="仿宋" w:cs="仿宋"/>
                <w:color w:val="auto"/>
                <w:sz w:val="24"/>
                <w:szCs w:val="24"/>
                <w:lang w:val="en-US" w:eastAsia="zh-CN"/>
              </w:rPr>
              <w:t>发药</w:t>
            </w:r>
            <w:r>
              <w:rPr>
                <w:rFonts w:hint="eastAsia" w:ascii="仿宋" w:hAnsi="仿宋" w:eastAsia="仿宋" w:cs="仿宋"/>
                <w:color w:val="auto"/>
                <w:sz w:val="24"/>
                <w:szCs w:val="24"/>
              </w:rPr>
              <w:t>系统</w:t>
            </w:r>
          </w:p>
        </w:tc>
        <w:tc>
          <w:tcPr>
            <w:tcW w:w="1635" w:type="dxa"/>
            <w:tcBorders>
              <w:top w:val="single" w:color="auto" w:sz="4" w:space="0"/>
              <w:left w:val="single" w:color="auto" w:sz="4" w:space="0"/>
              <w:bottom w:val="single" w:color="auto" w:sz="4" w:space="0"/>
              <w:right w:val="single" w:color="auto" w:sz="4" w:space="0"/>
            </w:tcBorders>
            <w:noWrap/>
            <w:vAlign w:val="center"/>
          </w:tcPr>
          <w:p w14:paraId="1A73A2D9">
            <w:p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IRON-D</w:t>
            </w:r>
          </w:p>
        </w:tc>
        <w:tc>
          <w:tcPr>
            <w:tcW w:w="825" w:type="dxa"/>
            <w:tcBorders>
              <w:top w:val="single" w:color="auto" w:sz="4" w:space="0"/>
              <w:left w:val="single" w:color="auto" w:sz="4" w:space="0"/>
              <w:bottom w:val="single" w:color="auto" w:sz="4" w:space="0"/>
              <w:right w:val="single" w:color="auto" w:sz="4" w:space="0"/>
            </w:tcBorders>
            <w:noWrap/>
            <w:vAlign w:val="center"/>
          </w:tcPr>
          <w:p w14:paraId="61F6B0F0">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艾隆</w:t>
            </w:r>
          </w:p>
        </w:tc>
        <w:tc>
          <w:tcPr>
            <w:tcW w:w="825" w:type="dxa"/>
            <w:tcBorders>
              <w:top w:val="single" w:color="auto" w:sz="4" w:space="0"/>
              <w:left w:val="single" w:color="auto" w:sz="4" w:space="0"/>
              <w:bottom w:val="single" w:color="auto" w:sz="4" w:space="0"/>
              <w:right w:val="single" w:color="auto" w:sz="4" w:space="0"/>
            </w:tcBorders>
            <w:noWrap/>
            <w:vAlign w:val="center"/>
          </w:tcPr>
          <w:p w14:paraId="2C35255D">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苏州</w:t>
            </w:r>
          </w:p>
        </w:tc>
        <w:tc>
          <w:tcPr>
            <w:tcW w:w="705" w:type="dxa"/>
            <w:tcBorders>
              <w:top w:val="single" w:color="auto" w:sz="4" w:space="0"/>
              <w:left w:val="single" w:color="auto" w:sz="4" w:space="0"/>
              <w:bottom w:val="single" w:color="auto" w:sz="4" w:space="0"/>
              <w:right w:val="single" w:color="auto" w:sz="4" w:space="0"/>
            </w:tcBorders>
            <w:noWrap/>
            <w:vAlign w:val="center"/>
          </w:tcPr>
          <w:p w14:paraId="23D02A1E">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台</w:t>
            </w:r>
          </w:p>
        </w:tc>
        <w:tc>
          <w:tcPr>
            <w:tcW w:w="1170" w:type="dxa"/>
            <w:tcBorders>
              <w:top w:val="single" w:color="auto" w:sz="4" w:space="0"/>
              <w:left w:val="single" w:color="auto" w:sz="4" w:space="0"/>
              <w:bottom w:val="single" w:color="auto" w:sz="4" w:space="0"/>
              <w:right w:val="single" w:color="auto" w:sz="4" w:space="0"/>
            </w:tcBorders>
            <w:noWrap/>
            <w:vAlign w:val="center"/>
          </w:tcPr>
          <w:p w14:paraId="2B59C610">
            <w:pPr>
              <w:spacing w:line="24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p>
        </w:tc>
      </w:tr>
      <w:tr w14:paraId="5D42F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887" w:type="dxa"/>
            <w:tcBorders>
              <w:top w:val="single" w:color="auto" w:sz="4" w:space="0"/>
              <w:left w:val="single" w:color="auto" w:sz="4" w:space="0"/>
              <w:bottom w:val="single" w:color="auto" w:sz="4" w:space="0"/>
              <w:right w:val="single" w:color="auto" w:sz="4" w:space="0"/>
            </w:tcBorders>
            <w:noWrap/>
            <w:vAlign w:val="center"/>
          </w:tcPr>
          <w:p w14:paraId="7D9CC0C0">
            <w:pPr>
              <w:jc w:val="center"/>
              <w:rPr>
                <w:rFonts w:hint="eastAsia" w:ascii="仿宋" w:hAnsi="仿宋" w:eastAsia="仿宋" w:cs="仿宋"/>
                <w:color w:val="auto"/>
                <w:sz w:val="24"/>
                <w:szCs w:val="24"/>
              </w:rPr>
            </w:pPr>
            <w:r>
              <w:rPr>
                <w:rFonts w:hint="eastAsia" w:ascii="仿宋" w:hAnsi="仿宋" w:eastAsia="仿宋" w:cs="仿宋"/>
                <w:color w:val="auto"/>
                <w:sz w:val="24"/>
                <w:szCs w:val="24"/>
              </w:rPr>
              <w:t>8</w:t>
            </w:r>
          </w:p>
        </w:tc>
        <w:tc>
          <w:tcPr>
            <w:tcW w:w="2445" w:type="dxa"/>
            <w:tcBorders>
              <w:top w:val="single" w:color="auto" w:sz="4" w:space="0"/>
              <w:left w:val="single" w:color="auto" w:sz="4" w:space="0"/>
              <w:bottom w:val="single" w:color="auto" w:sz="4" w:space="0"/>
              <w:right w:val="single" w:color="auto" w:sz="4" w:space="0"/>
            </w:tcBorders>
            <w:noWrap/>
            <w:vAlign w:val="center"/>
          </w:tcPr>
          <w:p w14:paraId="3DE2B793">
            <w:p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地轨传输系统</w:t>
            </w:r>
          </w:p>
        </w:tc>
        <w:tc>
          <w:tcPr>
            <w:tcW w:w="1635" w:type="dxa"/>
            <w:tcBorders>
              <w:top w:val="single" w:color="auto" w:sz="4" w:space="0"/>
              <w:left w:val="single" w:color="auto" w:sz="4" w:space="0"/>
              <w:bottom w:val="single" w:color="auto" w:sz="4" w:space="0"/>
              <w:right w:val="single" w:color="auto" w:sz="4" w:space="0"/>
            </w:tcBorders>
            <w:noWrap/>
            <w:vAlign w:val="center"/>
          </w:tcPr>
          <w:p w14:paraId="44FF4A1A">
            <w:p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IRON-ZFD</w:t>
            </w:r>
          </w:p>
        </w:tc>
        <w:tc>
          <w:tcPr>
            <w:tcW w:w="825" w:type="dxa"/>
            <w:tcBorders>
              <w:top w:val="single" w:color="auto" w:sz="4" w:space="0"/>
              <w:left w:val="single" w:color="auto" w:sz="4" w:space="0"/>
              <w:bottom w:val="single" w:color="auto" w:sz="4" w:space="0"/>
              <w:right w:val="single" w:color="auto" w:sz="4" w:space="0"/>
            </w:tcBorders>
            <w:noWrap/>
            <w:vAlign w:val="center"/>
          </w:tcPr>
          <w:p w14:paraId="27096983">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艾隆</w:t>
            </w:r>
          </w:p>
        </w:tc>
        <w:tc>
          <w:tcPr>
            <w:tcW w:w="825" w:type="dxa"/>
            <w:tcBorders>
              <w:top w:val="single" w:color="auto" w:sz="4" w:space="0"/>
              <w:left w:val="single" w:color="auto" w:sz="4" w:space="0"/>
              <w:bottom w:val="single" w:color="auto" w:sz="4" w:space="0"/>
              <w:right w:val="single" w:color="auto" w:sz="4" w:space="0"/>
            </w:tcBorders>
            <w:noWrap/>
            <w:vAlign w:val="center"/>
          </w:tcPr>
          <w:p w14:paraId="1BFF6B2E">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苏州</w:t>
            </w:r>
          </w:p>
        </w:tc>
        <w:tc>
          <w:tcPr>
            <w:tcW w:w="705" w:type="dxa"/>
            <w:tcBorders>
              <w:top w:val="single" w:color="auto" w:sz="4" w:space="0"/>
              <w:left w:val="single" w:color="auto" w:sz="4" w:space="0"/>
              <w:bottom w:val="single" w:color="auto" w:sz="4" w:space="0"/>
              <w:right w:val="single" w:color="auto" w:sz="4" w:space="0"/>
            </w:tcBorders>
            <w:noWrap/>
            <w:vAlign w:val="center"/>
          </w:tcPr>
          <w:p w14:paraId="5DBA1457">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台</w:t>
            </w:r>
          </w:p>
        </w:tc>
        <w:tc>
          <w:tcPr>
            <w:tcW w:w="1170" w:type="dxa"/>
            <w:tcBorders>
              <w:top w:val="single" w:color="auto" w:sz="4" w:space="0"/>
              <w:left w:val="single" w:color="auto" w:sz="4" w:space="0"/>
              <w:bottom w:val="single" w:color="auto" w:sz="4" w:space="0"/>
              <w:right w:val="single" w:color="auto" w:sz="4" w:space="0"/>
            </w:tcBorders>
            <w:noWrap/>
            <w:vAlign w:val="center"/>
          </w:tcPr>
          <w:p w14:paraId="54C02A22">
            <w:pPr>
              <w:spacing w:line="240" w:lineRule="auto"/>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1</w:t>
            </w:r>
          </w:p>
        </w:tc>
      </w:tr>
      <w:tr w14:paraId="20859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887" w:type="dxa"/>
            <w:tcBorders>
              <w:top w:val="single" w:color="auto" w:sz="4" w:space="0"/>
              <w:left w:val="single" w:color="auto" w:sz="4" w:space="0"/>
              <w:bottom w:val="single" w:color="auto" w:sz="4" w:space="0"/>
              <w:right w:val="single" w:color="auto" w:sz="4" w:space="0"/>
            </w:tcBorders>
            <w:noWrap/>
            <w:vAlign w:val="center"/>
          </w:tcPr>
          <w:p w14:paraId="31F7617D">
            <w:pPr>
              <w:jc w:val="center"/>
              <w:rPr>
                <w:rFonts w:hint="eastAsia" w:ascii="仿宋" w:hAnsi="仿宋" w:eastAsia="仿宋" w:cs="仿宋"/>
                <w:color w:val="auto"/>
                <w:sz w:val="24"/>
                <w:szCs w:val="24"/>
              </w:rPr>
            </w:pPr>
            <w:r>
              <w:rPr>
                <w:rFonts w:hint="eastAsia" w:ascii="仿宋" w:hAnsi="仿宋" w:eastAsia="仿宋" w:cs="仿宋"/>
                <w:color w:val="auto"/>
                <w:sz w:val="24"/>
                <w:szCs w:val="24"/>
              </w:rPr>
              <w:t>9</w:t>
            </w:r>
          </w:p>
        </w:tc>
        <w:tc>
          <w:tcPr>
            <w:tcW w:w="2445" w:type="dxa"/>
            <w:tcBorders>
              <w:top w:val="single" w:color="auto" w:sz="4" w:space="0"/>
              <w:left w:val="single" w:color="auto" w:sz="4" w:space="0"/>
              <w:bottom w:val="single" w:color="auto" w:sz="4" w:space="0"/>
              <w:right w:val="single" w:color="auto" w:sz="4" w:space="0"/>
            </w:tcBorders>
            <w:noWrap/>
            <w:vAlign w:val="center"/>
          </w:tcPr>
          <w:p w14:paraId="31D01784">
            <w:p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麻精药品管理机</w:t>
            </w:r>
          </w:p>
        </w:tc>
        <w:tc>
          <w:tcPr>
            <w:tcW w:w="1635" w:type="dxa"/>
            <w:tcBorders>
              <w:top w:val="single" w:color="auto" w:sz="4" w:space="0"/>
              <w:left w:val="single" w:color="auto" w:sz="4" w:space="0"/>
              <w:bottom w:val="single" w:color="auto" w:sz="4" w:space="0"/>
              <w:right w:val="single" w:color="auto" w:sz="4" w:space="0"/>
            </w:tcBorders>
            <w:noWrap/>
            <w:vAlign w:val="center"/>
          </w:tcPr>
          <w:p w14:paraId="60F97908">
            <w:p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IRON-</w:t>
            </w:r>
            <w:r>
              <w:rPr>
                <w:rFonts w:hint="eastAsia" w:ascii="仿宋" w:hAnsi="仿宋" w:eastAsia="仿宋" w:cs="仿宋"/>
                <w:color w:val="auto"/>
                <w:sz w:val="24"/>
                <w:szCs w:val="24"/>
                <w:lang w:val="en-US" w:eastAsia="zh-CN"/>
              </w:rPr>
              <w:t>MJ09</w:t>
            </w:r>
          </w:p>
        </w:tc>
        <w:tc>
          <w:tcPr>
            <w:tcW w:w="825" w:type="dxa"/>
            <w:tcBorders>
              <w:top w:val="single" w:color="auto" w:sz="4" w:space="0"/>
              <w:left w:val="single" w:color="auto" w:sz="4" w:space="0"/>
              <w:bottom w:val="single" w:color="auto" w:sz="4" w:space="0"/>
              <w:right w:val="single" w:color="auto" w:sz="4" w:space="0"/>
            </w:tcBorders>
            <w:noWrap/>
            <w:vAlign w:val="center"/>
          </w:tcPr>
          <w:p w14:paraId="0CBCB20B">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艾隆</w:t>
            </w:r>
          </w:p>
        </w:tc>
        <w:tc>
          <w:tcPr>
            <w:tcW w:w="825" w:type="dxa"/>
            <w:tcBorders>
              <w:top w:val="single" w:color="auto" w:sz="4" w:space="0"/>
              <w:left w:val="single" w:color="auto" w:sz="4" w:space="0"/>
              <w:bottom w:val="single" w:color="auto" w:sz="4" w:space="0"/>
              <w:right w:val="single" w:color="auto" w:sz="4" w:space="0"/>
            </w:tcBorders>
            <w:noWrap/>
            <w:vAlign w:val="center"/>
          </w:tcPr>
          <w:p w14:paraId="1A7AD517">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苏州</w:t>
            </w:r>
          </w:p>
        </w:tc>
        <w:tc>
          <w:tcPr>
            <w:tcW w:w="705" w:type="dxa"/>
            <w:tcBorders>
              <w:top w:val="single" w:color="auto" w:sz="4" w:space="0"/>
              <w:left w:val="single" w:color="auto" w:sz="4" w:space="0"/>
              <w:bottom w:val="single" w:color="auto" w:sz="4" w:space="0"/>
              <w:right w:val="single" w:color="auto" w:sz="4" w:space="0"/>
            </w:tcBorders>
            <w:noWrap/>
            <w:vAlign w:val="center"/>
          </w:tcPr>
          <w:p w14:paraId="45E67226">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台</w:t>
            </w:r>
          </w:p>
        </w:tc>
        <w:tc>
          <w:tcPr>
            <w:tcW w:w="1170" w:type="dxa"/>
            <w:tcBorders>
              <w:top w:val="single" w:color="auto" w:sz="4" w:space="0"/>
              <w:left w:val="single" w:color="auto" w:sz="4" w:space="0"/>
              <w:bottom w:val="single" w:color="auto" w:sz="4" w:space="0"/>
              <w:right w:val="single" w:color="auto" w:sz="4" w:space="0"/>
            </w:tcBorders>
            <w:noWrap/>
            <w:vAlign w:val="center"/>
          </w:tcPr>
          <w:p w14:paraId="0F862C19">
            <w:pPr>
              <w:spacing w:line="240" w:lineRule="auto"/>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1</w:t>
            </w:r>
          </w:p>
        </w:tc>
      </w:tr>
      <w:tr w14:paraId="7E438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887" w:type="dxa"/>
            <w:tcBorders>
              <w:top w:val="single" w:color="auto" w:sz="4" w:space="0"/>
              <w:left w:val="single" w:color="auto" w:sz="4" w:space="0"/>
              <w:bottom w:val="single" w:color="auto" w:sz="4" w:space="0"/>
              <w:right w:val="single" w:color="auto" w:sz="4" w:space="0"/>
            </w:tcBorders>
            <w:noWrap/>
            <w:vAlign w:val="center"/>
          </w:tcPr>
          <w:p w14:paraId="42455597">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10</w:t>
            </w:r>
          </w:p>
        </w:tc>
        <w:tc>
          <w:tcPr>
            <w:tcW w:w="2445" w:type="dxa"/>
            <w:tcBorders>
              <w:top w:val="single" w:color="auto" w:sz="4" w:space="0"/>
              <w:left w:val="single" w:color="auto" w:sz="4" w:space="0"/>
              <w:bottom w:val="single" w:color="auto" w:sz="4" w:space="0"/>
              <w:right w:val="single" w:color="auto" w:sz="4" w:space="0"/>
            </w:tcBorders>
            <w:noWrap/>
            <w:vAlign w:val="center"/>
          </w:tcPr>
          <w:p w14:paraId="6C512A4C">
            <w:p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排队叫号系统</w:t>
            </w:r>
          </w:p>
        </w:tc>
        <w:tc>
          <w:tcPr>
            <w:tcW w:w="1635" w:type="dxa"/>
            <w:tcBorders>
              <w:top w:val="single" w:color="auto" w:sz="4" w:space="0"/>
              <w:left w:val="single" w:color="auto" w:sz="4" w:space="0"/>
              <w:bottom w:val="single" w:color="auto" w:sz="4" w:space="0"/>
              <w:right w:val="single" w:color="auto" w:sz="4" w:space="0"/>
            </w:tcBorders>
            <w:noWrap/>
            <w:vAlign w:val="center"/>
          </w:tcPr>
          <w:p w14:paraId="4AB4166A">
            <w:p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AutoQueueV1.0</w:t>
            </w:r>
          </w:p>
        </w:tc>
        <w:tc>
          <w:tcPr>
            <w:tcW w:w="825" w:type="dxa"/>
            <w:tcBorders>
              <w:top w:val="single" w:color="auto" w:sz="4" w:space="0"/>
              <w:left w:val="single" w:color="auto" w:sz="4" w:space="0"/>
              <w:bottom w:val="single" w:color="auto" w:sz="4" w:space="0"/>
              <w:right w:val="single" w:color="auto" w:sz="4" w:space="0"/>
            </w:tcBorders>
            <w:noWrap/>
            <w:vAlign w:val="center"/>
          </w:tcPr>
          <w:p w14:paraId="7FD1938F">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艾隆</w:t>
            </w:r>
          </w:p>
        </w:tc>
        <w:tc>
          <w:tcPr>
            <w:tcW w:w="825" w:type="dxa"/>
            <w:tcBorders>
              <w:top w:val="single" w:color="auto" w:sz="4" w:space="0"/>
              <w:left w:val="single" w:color="auto" w:sz="4" w:space="0"/>
              <w:bottom w:val="single" w:color="auto" w:sz="4" w:space="0"/>
              <w:right w:val="single" w:color="auto" w:sz="4" w:space="0"/>
            </w:tcBorders>
            <w:noWrap/>
            <w:vAlign w:val="center"/>
          </w:tcPr>
          <w:p w14:paraId="02624CA0">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苏州</w:t>
            </w:r>
          </w:p>
        </w:tc>
        <w:tc>
          <w:tcPr>
            <w:tcW w:w="705" w:type="dxa"/>
            <w:tcBorders>
              <w:top w:val="single" w:color="auto" w:sz="4" w:space="0"/>
              <w:left w:val="single" w:color="auto" w:sz="4" w:space="0"/>
              <w:bottom w:val="single" w:color="auto" w:sz="4" w:space="0"/>
              <w:right w:val="single" w:color="auto" w:sz="4" w:space="0"/>
            </w:tcBorders>
            <w:noWrap/>
            <w:vAlign w:val="center"/>
          </w:tcPr>
          <w:p w14:paraId="7008DE5D">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台</w:t>
            </w:r>
          </w:p>
        </w:tc>
        <w:tc>
          <w:tcPr>
            <w:tcW w:w="1170" w:type="dxa"/>
            <w:tcBorders>
              <w:top w:val="single" w:color="auto" w:sz="4" w:space="0"/>
              <w:left w:val="single" w:color="auto" w:sz="4" w:space="0"/>
              <w:bottom w:val="single" w:color="auto" w:sz="4" w:space="0"/>
              <w:right w:val="single" w:color="auto" w:sz="4" w:space="0"/>
            </w:tcBorders>
            <w:noWrap/>
            <w:vAlign w:val="center"/>
          </w:tcPr>
          <w:p w14:paraId="6DC21ACF">
            <w:p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p>
        </w:tc>
      </w:tr>
      <w:tr w14:paraId="2FFF8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887" w:type="dxa"/>
            <w:tcBorders>
              <w:top w:val="single" w:color="auto" w:sz="4" w:space="0"/>
              <w:left w:val="single" w:color="auto" w:sz="4" w:space="0"/>
              <w:bottom w:val="single" w:color="auto" w:sz="4" w:space="0"/>
              <w:right w:val="single" w:color="auto" w:sz="4" w:space="0"/>
            </w:tcBorders>
            <w:noWrap/>
            <w:vAlign w:val="center"/>
          </w:tcPr>
          <w:p w14:paraId="09EE7730">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11</w:t>
            </w:r>
          </w:p>
        </w:tc>
        <w:tc>
          <w:tcPr>
            <w:tcW w:w="2445" w:type="dxa"/>
            <w:tcBorders>
              <w:top w:val="single" w:color="auto" w:sz="4" w:space="0"/>
              <w:left w:val="single" w:color="auto" w:sz="4" w:space="0"/>
              <w:bottom w:val="single" w:color="auto" w:sz="4" w:space="0"/>
              <w:right w:val="single" w:color="auto" w:sz="4" w:space="0"/>
            </w:tcBorders>
            <w:noWrap/>
            <w:vAlign w:val="center"/>
          </w:tcPr>
          <w:p w14:paraId="73A7C32B">
            <w:p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结构化医嘱打印系统</w:t>
            </w:r>
          </w:p>
        </w:tc>
        <w:tc>
          <w:tcPr>
            <w:tcW w:w="1635" w:type="dxa"/>
            <w:tcBorders>
              <w:top w:val="single" w:color="auto" w:sz="4" w:space="0"/>
              <w:left w:val="single" w:color="auto" w:sz="4" w:space="0"/>
              <w:bottom w:val="single" w:color="auto" w:sz="4" w:space="0"/>
              <w:right w:val="single" w:color="auto" w:sz="4" w:space="0"/>
            </w:tcBorders>
            <w:noWrap/>
            <w:vAlign w:val="center"/>
          </w:tcPr>
          <w:p w14:paraId="47195BA6">
            <w:p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SmartPrint V1.0</w:t>
            </w:r>
          </w:p>
        </w:tc>
        <w:tc>
          <w:tcPr>
            <w:tcW w:w="825" w:type="dxa"/>
            <w:tcBorders>
              <w:top w:val="single" w:color="auto" w:sz="4" w:space="0"/>
              <w:left w:val="single" w:color="auto" w:sz="4" w:space="0"/>
              <w:bottom w:val="single" w:color="auto" w:sz="4" w:space="0"/>
              <w:right w:val="single" w:color="auto" w:sz="4" w:space="0"/>
            </w:tcBorders>
            <w:noWrap/>
            <w:vAlign w:val="center"/>
          </w:tcPr>
          <w:p w14:paraId="481F3D93">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艾隆</w:t>
            </w:r>
          </w:p>
        </w:tc>
        <w:tc>
          <w:tcPr>
            <w:tcW w:w="825" w:type="dxa"/>
            <w:tcBorders>
              <w:top w:val="single" w:color="auto" w:sz="4" w:space="0"/>
              <w:left w:val="single" w:color="auto" w:sz="4" w:space="0"/>
              <w:bottom w:val="single" w:color="auto" w:sz="4" w:space="0"/>
              <w:right w:val="single" w:color="auto" w:sz="4" w:space="0"/>
            </w:tcBorders>
            <w:noWrap/>
            <w:vAlign w:val="center"/>
          </w:tcPr>
          <w:p w14:paraId="1A42D5E1">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苏州</w:t>
            </w:r>
          </w:p>
        </w:tc>
        <w:tc>
          <w:tcPr>
            <w:tcW w:w="705" w:type="dxa"/>
            <w:tcBorders>
              <w:top w:val="single" w:color="auto" w:sz="4" w:space="0"/>
              <w:left w:val="single" w:color="auto" w:sz="4" w:space="0"/>
              <w:bottom w:val="single" w:color="auto" w:sz="4" w:space="0"/>
              <w:right w:val="single" w:color="auto" w:sz="4" w:space="0"/>
            </w:tcBorders>
            <w:noWrap/>
            <w:vAlign w:val="center"/>
          </w:tcPr>
          <w:p w14:paraId="5F0409EB">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套</w:t>
            </w:r>
          </w:p>
        </w:tc>
        <w:tc>
          <w:tcPr>
            <w:tcW w:w="1170" w:type="dxa"/>
            <w:tcBorders>
              <w:top w:val="single" w:color="auto" w:sz="4" w:space="0"/>
              <w:left w:val="single" w:color="auto" w:sz="4" w:space="0"/>
              <w:bottom w:val="single" w:color="auto" w:sz="4" w:space="0"/>
              <w:right w:val="single" w:color="auto" w:sz="4" w:space="0"/>
            </w:tcBorders>
            <w:noWrap/>
            <w:vAlign w:val="center"/>
          </w:tcPr>
          <w:p w14:paraId="0B42CEED">
            <w:p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p>
        </w:tc>
      </w:tr>
    </w:tbl>
    <w:p w14:paraId="05A4BE1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4"/>
          <w:szCs w:val="24"/>
          <w:highlight w:val="none"/>
        </w:rPr>
      </w:pPr>
    </w:p>
    <w:p w14:paraId="3B2AC79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4"/>
          <w:szCs w:val="24"/>
          <w:highlight w:val="none"/>
        </w:rPr>
      </w:pPr>
    </w:p>
    <w:p w14:paraId="67B07F1B">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4"/>
          <w:szCs w:val="24"/>
          <w:highlight w:val="none"/>
        </w:rPr>
      </w:pPr>
    </w:p>
    <w:p w14:paraId="1C695026">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4"/>
          <w:szCs w:val="24"/>
          <w:highlight w:val="none"/>
          <w:lang w:val="en-US" w:eastAsia="zh-CN"/>
        </w:rPr>
      </w:pPr>
    </w:p>
    <w:p w14:paraId="4455E652">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4"/>
          <w:szCs w:val="24"/>
          <w:highlight w:val="none"/>
        </w:rPr>
      </w:pPr>
    </w:p>
    <w:p w14:paraId="44E211B1">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4"/>
          <w:szCs w:val="24"/>
          <w:highlight w:val="none"/>
          <w:lang w:val="en-US" w:eastAsia="zh-CN"/>
        </w:rPr>
      </w:pPr>
    </w:p>
    <w:p w14:paraId="471A827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4"/>
          <w:szCs w:val="24"/>
          <w:lang w:val="en-US" w:eastAsia="zh-CN"/>
        </w:rPr>
      </w:pPr>
    </w:p>
    <w:p w14:paraId="4214858B">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4"/>
          <w:szCs w:val="24"/>
          <w:lang w:val="en-US" w:eastAsia="zh-CN"/>
        </w:rPr>
      </w:pPr>
    </w:p>
    <w:p w14:paraId="7945AA2F">
      <w:pPr>
        <w:rPr>
          <w:rFonts w:hint="eastAsia" w:ascii="仿宋" w:hAnsi="仿宋" w:eastAsia="仿宋" w:cs="仿宋"/>
          <w:color w:val="auto"/>
          <w:sz w:val="24"/>
          <w:szCs w:val="24"/>
          <w:lang w:val="en-US" w:eastAsia="zh-CN"/>
        </w:rPr>
      </w:pPr>
      <w:bookmarkStart w:id="1" w:name="_Toc16523574"/>
      <w:r>
        <w:rPr>
          <w:rFonts w:hint="eastAsia" w:ascii="仿宋" w:hAnsi="仿宋" w:eastAsia="仿宋" w:cs="仿宋"/>
          <w:color w:val="auto"/>
          <w:sz w:val="24"/>
          <w:szCs w:val="24"/>
          <w:lang w:val="en-US" w:eastAsia="zh-CN"/>
        </w:rPr>
        <w:br w:type="page"/>
      </w:r>
    </w:p>
    <w:p w14:paraId="1B24DBFF">
      <w:pPr>
        <w:pStyle w:val="2"/>
        <w:numPr>
          <w:ilvl w:val="0"/>
          <w:numId w:val="0"/>
        </w:numPr>
        <w:spacing w:line="240" w:lineRule="auto"/>
        <w:ind w:left="2940" w:leftChars="0"/>
        <w:jc w:val="both"/>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第三章   </w:t>
      </w:r>
      <w:r>
        <w:rPr>
          <w:rFonts w:hint="eastAsia" w:ascii="仿宋" w:hAnsi="仿宋" w:eastAsia="仿宋" w:cs="仿宋"/>
          <w:color w:val="auto"/>
          <w:sz w:val="24"/>
          <w:szCs w:val="24"/>
        </w:rPr>
        <w:t>投标文件的格式</w:t>
      </w:r>
    </w:p>
    <w:p w14:paraId="10AEC8F2">
      <w:pPr>
        <w:pStyle w:val="2"/>
        <w:numPr>
          <w:ilvl w:val="0"/>
          <w:numId w:val="0"/>
        </w:numPr>
        <w:spacing w:line="240" w:lineRule="auto"/>
        <w:ind w:firstLine="1687" w:firstLineChars="700"/>
        <w:jc w:val="both"/>
        <w:rPr>
          <w:rFonts w:hint="eastAsia" w:ascii="仿宋" w:hAnsi="仿宋" w:eastAsia="仿宋" w:cs="仿宋"/>
          <w:color w:val="auto"/>
          <w:sz w:val="24"/>
          <w:szCs w:val="24"/>
        </w:rPr>
      </w:pPr>
      <w:r>
        <w:rPr>
          <w:rFonts w:hint="eastAsia" w:ascii="仿宋" w:hAnsi="仿宋" w:eastAsia="仿宋" w:cs="仿宋"/>
          <w:color w:val="auto"/>
          <w:sz w:val="24"/>
          <w:szCs w:val="24"/>
        </w:rPr>
        <w:t>（必须按以下标题和顺序进行编制）</w:t>
      </w:r>
    </w:p>
    <w:p w14:paraId="2122998B">
      <w:pPr>
        <w:rPr>
          <w:rFonts w:hint="eastAsia" w:ascii="仿宋" w:hAnsi="仿宋" w:eastAsia="仿宋" w:cs="仿宋"/>
          <w:color w:val="auto"/>
          <w:sz w:val="24"/>
          <w:szCs w:val="24"/>
        </w:rPr>
      </w:pPr>
    </w:p>
    <w:bookmarkEnd w:id="1"/>
    <w:p w14:paraId="4112E651">
      <w:pPr>
        <w:rPr>
          <w:rFonts w:hint="eastAsia" w:ascii="仿宋" w:hAnsi="仿宋" w:eastAsia="仿宋" w:cs="仿宋"/>
          <w:color w:val="auto"/>
          <w:sz w:val="24"/>
          <w:szCs w:val="24"/>
        </w:rPr>
      </w:pPr>
    </w:p>
    <w:p w14:paraId="7BED1D8A">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第一部分、开标一览表</w:t>
      </w:r>
    </w:p>
    <w:p w14:paraId="6154215B">
      <w:pPr>
        <w:jc w:val="center"/>
        <w:rPr>
          <w:rFonts w:hint="eastAsia" w:ascii="仿宋" w:hAnsi="仿宋" w:eastAsia="仿宋" w:cs="仿宋"/>
          <w:b/>
          <w:color w:val="auto"/>
          <w:sz w:val="24"/>
          <w:szCs w:val="24"/>
        </w:rPr>
      </w:pPr>
    </w:p>
    <w:p w14:paraId="1347C8BB">
      <w:pPr>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lang w:eastAsia="zh-CN"/>
        </w:rPr>
        <w:t>注：此项内容需包含投标</w:t>
      </w:r>
      <w:r>
        <w:rPr>
          <w:rFonts w:hint="eastAsia" w:ascii="仿宋" w:hAnsi="仿宋" w:eastAsia="仿宋" w:cs="仿宋"/>
          <w:b/>
          <w:color w:val="auto"/>
          <w:sz w:val="24"/>
          <w:szCs w:val="24"/>
          <w:lang w:val="en-US" w:eastAsia="zh-CN"/>
        </w:rPr>
        <w:t>项目</w:t>
      </w:r>
      <w:r>
        <w:rPr>
          <w:rFonts w:hint="eastAsia" w:ascii="仿宋" w:hAnsi="仿宋" w:eastAsia="仿宋" w:cs="仿宋"/>
          <w:b/>
          <w:color w:val="auto"/>
          <w:sz w:val="24"/>
          <w:szCs w:val="24"/>
          <w:lang w:eastAsia="zh-CN"/>
        </w:rPr>
        <w:t>名称、数量、品牌、型号、单价、总价、等信息</w:t>
      </w:r>
    </w:p>
    <w:p w14:paraId="7FA6607A">
      <w:pPr>
        <w:pStyle w:val="15"/>
        <w:rPr>
          <w:rFonts w:hint="eastAsia" w:ascii="仿宋" w:hAnsi="仿宋" w:eastAsia="仿宋" w:cs="仿宋"/>
          <w:color w:val="auto"/>
          <w:sz w:val="24"/>
          <w:szCs w:val="24"/>
        </w:rPr>
      </w:pPr>
    </w:p>
    <w:p w14:paraId="28874686">
      <w:pPr>
        <w:adjustRightInd w:val="0"/>
        <w:snapToGrid w:val="0"/>
        <w:spacing w:line="360" w:lineRule="auto"/>
        <w:jc w:val="center"/>
        <w:rPr>
          <w:rFonts w:hint="eastAsia" w:ascii="仿宋" w:hAnsi="仿宋" w:eastAsia="仿宋" w:cs="仿宋"/>
          <w:b/>
          <w:color w:val="auto"/>
          <w:sz w:val="24"/>
          <w:szCs w:val="24"/>
        </w:rPr>
      </w:pPr>
    </w:p>
    <w:p w14:paraId="096C96EF">
      <w:pPr>
        <w:adjustRightInd w:val="0"/>
        <w:snapToGrid w:val="0"/>
        <w:spacing w:line="360" w:lineRule="auto"/>
        <w:jc w:val="center"/>
        <w:rPr>
          <w:rFonts w:hint="eastAsia" w:ascii="仿宋" w:hAnsi="仿宋" w:eastAsia="仿宋" w:cs="仿宋"/>
          <w:b/>
          <w:color w:val="auto"/>
          <w:sz w:val="24"/>
          <w:szCs w:val="24"/>
        </w:rPr>
      </w:pPr>
    </w:p>
    <w:p w14:paraId="7584A0E9">
      <w:pPr>
        <w:adjustRightInd w:val="0"/>
        <w:snapToGrid w:val="0"/>
        <w:spacing w:line="360" w:lineRule="auto"/>
        <w:jc w:val="center"/>
        <w:rPr>
          <w:rFonts w:hint="eastAsia" w:ascii="仿宋" w:hAnsi="仿宋" w:eastAsia="仿宋" w:cs="仿宋"/>
          <w:b/>
          <w:color w:val="auto"/>
          <w:sz w:val="24"/>
          <w:szCs w:val="24"/>
        </w:rPr>
      </w:pPr>
    </w:p>
    <w:p w14:paraId="3E2E7999">
      <w:pPr>
        <w:adjustRightInd w:val="0"/>
        <w:snapToGrid w:val="0"/>
        <w:spacing w:line="360" w:lineRule="auto"/>
        <w:jc w:val="center"/>
        <w:rPr>
          <w:rFonts w:hint="eastAsia" w:ascii="仿宋" w:hAnsi="仿宋" w:eastAsia="仿宋" w:cs="仿宋"/>
          <w:b/>
          <w:color w:val="auto"/>
          <w:sz w:val="24"/>
          <w:szCs w:val="24"/>
        </w:rPr>
      </w:pPr>
    </w:p>
    <w:p w14:paraId="27418B53">
      <w:pPr>
        <w:adjustRightInd w:val="0"/>
        <w:snapToGrid w:val="0"/>
        <w:spacing w:line="360"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第二部分、资格证明文件</w:t>
      </w:r>
    </w:p>
    <w:p w14:paraId="20051BAF">
      <w:pPr>
        <w:pStyle w:val="16"/>
        <w:rPr>
          <w:rFonts w:hint="eastAsia" w:ascii="仿宋" w:hAnsi="仿宋" w:eastAsia="仿宋" w:cs="仿宋"/>
          <w:sz w:val="24"/>
          <w:szCs w:val="24"/>
          <w:lang w:eastAsia="zh-CN"/>
        </w:rPr>
      </w:pPr>
    </w:p>
    <w:p w14:paraId="76383466">
      <w:pPr>
        <w:adjustRightInd w:val="0"/>
        <w:snapToGrid w:val="0"/>
        <w:spacing w:line="360" w:lineRule="auto"/>
        <w:jc w:val="center"/>
        <w:rPr>
          <w:rFonts w:hint="eastAsia" w:ascii="仿宋" w:hAnsi="仿宋" w:eastAsia="仿宋" w:cs="仿宋"/>
          <w:b/>
          <w:color w:val="auto"/>
          <w:sz w:val="24"/>
          <w:szCs w:val="24"/>
        </w:rPr>
      </w:pPr>
    </w:p>
    <w:p w14:paraId="177F9770">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一、法定代表人授权委托书</w:t>
      </w:r>
    </w:p>
    <w:p w14:paraId="502CF71A">
      <w:pPr>
        <w:adjustRightInd w:val="0"/>
        <w:snapToGrid w:val="0"/>
        <w:spacing w:line="360" w:lineRule="auto"/>
        <w:rPr>
          <w:rFonts w:hint="eastAsia" w:ascii="仿宋" w:hAnsi="仿宋" w:eastAsia="仿宋" w:cs="仿宋"/>
          <w:b/>
          <w:color w:val="auto"/>
          <w:sz w:val="24"/>
          <w:szCs w:val="24"/>
        </w:rPr>
      </w:pPr>
    </w:p>
    <w:p w14:paraId="33AFB1D1">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本人</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投标人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的法定代表人，现授权</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为我方代理人。代理人根据授权，以我方名义签署、澄清、说明、补正、递交、撤回、修改</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）投标文件、签订合同和处理有关事宜，其法律后果由我方承担。</w:t>
      </w:r>
    </w:p>
    <w:p w14:paraId="68C81D2C">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委托期限：</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304A8B05">
      <w:pPr>
        <w:adjustRightInd w:val="0"/>
        <w:snapToGrid w:val="0"/>
        <w:spacing w:line="360" w:lineRule="auto"/>
        <w:ind w:firstLine="43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代理人无转委托权。</w:t>
      </w:r>
    </w:p>
    <w:p w14:paraId="592C6A13">
      <w:pPr>
        <w:adjustRightInd w:val="0"/>
        <w:snapToGrid w:val="0"/>
        <w:spacing w:line="360" w:lineRule="auto"/>
        <w:ind w:firstLine="435"/>
        <w:rPr>
          <w:rFonts w:hint="eastAsia" w:ascii="仿宋" w:hAnsi="仿宋" w:eastAsia="仿宋" w:cs="仿宋"/>
          <w:color w:val="auto"/>
          <w:sz w:val="24"/>
          <w:szCs w:val="24"/>
        </w:rPr>
      </w:pPr>
      <w:r>
        <w:rPr>
          <w:rFonts w:hint="eastAsia" w:ascii="仿宋" w:hAnsi="仿宋" w:eastAsia="仿宋" w:cs="仿宋"/>
          <w:color w:val="auto"/>
          <w:sz w:val="24"/>
          <w:szCs w:val="24"/>
        </w:rPr>
        <w:t>本授权书于日期：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日签字生效，特此声明。</w:t>
      </w:r>
    </w:p>
    <w:p w14:paraId="0CCE82F9">
      <w:pPr>
        <w:adjustRightInd w:val="0"/>
        <w:snapToGrid w:val="0"/>
        <w:spacing w:line="360" w:lineRule="auto"/>
        <w:ind w:firstLine="480" w:firstLineChars="200"/>
        <w:rPr>
          <w:rFonts w:hint="eastAsia" w:ascii="仿宋" w:hAnsi="仿宋" w:eastAsia="仿宋" w:cs="仿宋"/>
          <w:color w:val="auto"/>
          <w:sz w:val="24"/>
          <w:szCs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69E6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4B2547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委托代理人身份证（正面、反面）复印件</w:t>
            </w:r>
          </w:p>
        </w:tc>
      </w:tr>
    </w:tbl>
    <w:p w14:paraId="5C033F20">
      <w:pPr>
        <w:adjustRightInd w:val="0"/>
        <w:snapToGrid w:val="0"/>
        <w:spacing w:line="360" w:lineRule="auto"/>
        <w:rPr>
          <w:rFonts w:hint="eastAsia" w:ascii="仿宋" w:hAnsi="仿宋" w:eastAsia="仿宋" w:cs="仿宋"/>
          <w:color w:val="auto"/>
          <w:sz w:val="24"/>
          <w:szCs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7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C248A0A">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法定代表人身份证（正面、反面）复印件</w:t>
            </w:r>
          </w:p>
        </w:tc>
      </w:tr>
    </w:tbl>
    <w:p w14:paraId="74AA6451">
      <w:pPr>
        <w:adjustRightInd w:val="0"/>
        <w:snapToGrid w:val="0"/>
        <w:spacing w:line="360" w:lineRule="auto"/>
        <w:rPr>
          <w:rFonts w:hint="eastAsia" w:ascii="仿宋" w:hAnsi="仿宋" w:eastAsia="仿宋" w:cs="仿宋"/>
          <w:color w:val="auto"/>
          <w:sz w:val="24"/>
          <w:szCs w:val="24"/>
        </w:rPr>
      </w:pPr>
    </w:p>
    <w:p w14:paraId="45197FBA">
      <w:pPr>
        <w:adjustRightInd w:val="0"/>
        <w:snapToGrid w:val="0"/>
        <w:spacing w:line="360" w:lineRule="auto"/>
        <w:rPr>
          <w:rFonts w:hint="eastAsia" w:ascii="仿宋" w:hAnsi="仿宋" w:eastAsia="仿宋" w:cs="仿宋"/>
          <w:color w:val="auto"/>
          <w:sz w:val="24"/>
          <w:szCs w:val="24"/>
        </w:rPr>
      </w:pPr>
    </w:p>
    <w:p w14:paraId="6082DAC1">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14:paraId="7835EE6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73C72B2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3042B74">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6972FD2">
      <w:pPr>
        <w:adjustRightInd w:val="0"/>
        <w:snapToGrid w:val="0"/>
        <w:spacing w:line="360" w:lineRule="auto"/>
        <w:rPr>
          <w:rFonts w:hint="eastAsia" w:ascii="仿宋" w:hAnsi="仿宋" w:eastAsia="仿宋" w:cs="仿宋"/>
          <w:b/>
          <w:color w:val="auto"/>
          <w:sz w:val="24"/>
          <w:szCs w:val="24"/>
        </w:rPr>
      </w:pPr>
    </w:p>
    <w:p w14:paraId="1FF3CAA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b/>
          <w:color w:val="auto"/>
          <w:sz w:val="24"/>
          <w:szCs w:val="24"/>
        </w:rPr>
        <w:t>二、投标人资格声明</w:t>
      </w:r>
    </w:p>
    <w:p w14:paraId="46599C6D">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089DEC85">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按照招标文件的规定，我单位郑重声明如下：</w:t>
      </w:r>
    </w:p>
    <w:p w14:paraId="7425A4C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一、我单位是按照中华人民共和国法律规定登记注册的，注册地点为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，全称为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，统一社会信用代码为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，法定代表人为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，具有独立承担民事责任的能力。</w:t>
      </w:r>
    </w:p>
    <w:p w14:paraId="31E15CF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二、我单位具有良好的商业信誉和健全的财务会计制度。</w:t>
      </w:r>
    </w:p>
    <w:p w14:paraId="46BA265F">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w:t>
      </w:r>
      <w:r>
        <w:rPr>
          <w:rFonts w:hint="eastAsia" w:ascii="仿宋" w:hAnsi="仿宋" w:eastAsia="仿宋" w:cs="仿宋"/>
          <w:color w:val="auto"/>
          <w:sz w:val="24"/>
          <w:szCs w:val="24"/>
        </w:rPr>
        <w:t>我单位具有履行本项目采购合同所必需的设备和专业技术能力。</w:t>
      </w:r>
    </w:p>
    <w:p w14:paraId="77B8C97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F3C91A7">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五、我单位具备法律、行政法规规定的其他条件。</w:t>
      </w:r>
    </w:p>
    <w:p w14:paraId="7BCEBBAF">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六、</w:t>
      </w:r>
      <w:r>
        <w:rPr>
          <w:rFonts w:hint="eastAsia" w:ascii="仿宋" w:hAnsi="仿宋" w:eastAsia="仿宋" w:cs="仿宋"/>
          <w:color w:val="auto"/>
          <w:sz w:val="24"/>
          <w:szCs w:val="24"/>
        </w:rPr>
        <w:t>与我单位存在“单位负责人为同一人或者存在直接控股、管理关系”的其他法人单位信息如下（如无，填写“无”）：</w:t>
      </w:r>
    </w:p>
    <w:p w14:paraId="191BEECA">
      <w:pPr>
        <w:adjustRightInd w:val="0"/>
        <w:snapToGrid w:val="0"/>
        <w:spacing w:before="120" w:beforeLines="5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1、与我单位的法定代表人（单位负责人）为同一人的其他法人单位如下：</w:t>
      </w:r>
      <w:r>
        <w:rPr>
          <w:rFonts w:hint="eastAsia" w:ascii="仿宋" w:hAnsi="仿宋" w:eastAsia="仿宋" w:cs="仿宋"/>
          <w:color w:val="auto"/>
          <w:sz w:val="24"/>
          <w:szCs w:val="24"/>
          <w:u w:val="single"/>
        </w:rPr>
        <w:t xml:space="preserve">               </w:t>
      </w:r>
    </w:p>
    <w:p w14:paraId="34BBC33E">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2、我单位直接控股的其他法人单位如下：</w:t>
      </w:r>
      <w:r>
        <w:rPr>
          <w:rFonts w:hint="eastAsia" w:ascii="仿宋" w:hAnsi="仿宋" w:eastAsia="仿宋" w:cs="仿宋"/>
          <w:color w:val="auto"/>
          <w:sz w:val="24"/>
          <w:szCs w:val="24"/>
          <w:u w:val="single"/>
        </w:rPr>
        <w:t xml:space="preserve">                                            </w:t>
      </w:r>
    </w:p>
    <w:p w14:paraId="6808D36D">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3、与我单位存在管理关系的其他法人单位如下：</w:t>
      </w:r>
      <w:r>
        <w:rPr>
          <w:rFonts w:hint="eastAsia" w:ascii="仿宋" w:hAnsi="仿宋" w:eastAsia="仿宋" w:cs="仿宋"/>
          <w:color w:val="auto"/>
          <w:sz w:val="24"/>
          <w:szCs w:val="24"/>
          <w:u w:val="single"/>
        </w:rPr>
        <w:t xml:space="preserve">                                      </w:t>
      </w:r>
    </w:p>
    <w:p w14:paraId="14D3CF47">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我单位保证上述声明的事项都是真实的，如有虚假，我单位愿意承担相应的法律责任，并承担因此所造成的一切损失。</w:t>
      </w:r>
    </w:p>
    <w:p w14:paraId="2524CA35">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我单位保证随时按照要求提供能够证明上述声明事项真实性的任何有效文件。</w:t>
      </w:r>
    </w:p>
    <w:p w14:paraId="1F67F9C2">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投标人名称（盖单位公章）：</w:t>
      </w:r>
    </w:p>
    <w:p w14:paraId="58DD5F02">
      <w:pPr>
        <w:widowControl/>
        <w:adjustRightInd w:val="0"/>
        <w:snapToGrid w:val="0"/>
        <w:spacing w:before="120" w:beforeLines="50" w:line="360" w:lineRule="auto"/>
        <w:jc w:val="left"/>
        <w:rPr>
          <w:rFonts w:hint="eastAsia" w:ascii="仿宋" w:hAnsi="仿宋" w:eastAsia="仿宋" w:cs="仿宋"/>
          <w:b/>
          <w:bCs/>
          <w:color w:val="auto"/>
          <w:kern w:val="0"/>
          <w:sz w:val="24"/>
          <w:szCs w:val="24"/>
        </w:rPr>
      </w:pPr>
      <w:r>
        <w:rPr>
          <w:rFonts w:hint="eastAsia" w:ascii="仿宋" w:hAnsi="仿宋" w:eastAsia="仿宋" w:cs="仿宋"/>
          <w:color w:val="auto"/>
          <w:sz w:val="24"/>
          <w:szCs w:val="24"/>
        </w:rPr>
        <w:t>法定代表人或委托代理人（签字）：</w:t>
      </w:r>
    </w:p>
    <w:p w14:paraId="5BB486C5">
      <w:pPr>
        <w:widowControl/>
        <w:adjustRightInd w:val="0"/>
        <w:snapToGrid w:val="0"/>
        <w:spacing w:before="120" w:beforeLines="50"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630A7F80">
      <w:pPr>
        <w:adjustRightInd w:val="0"/>
        <w:snapToGrid w:val="0"/>
        <w:spacing w:line="360" w:lineRule="auto"/>
        <w:jc w:val="center"/>
        <w:rPr>
          <w:rFonts w:hint="eastAsia" w:ascii="仿宋" w:hAnsi="仿宋" w:eastAsia="仿宋" w:cs="仿宋"/>
          <w:b/>
          <w:color w:val="auto"/>
          <w:sz w:val="24"/>
          <w:szCs w:val="24"/>
        </w:rPr>
      </w:pPr>
    </w:p>
    <w:p w14:paraId="12163421">
      <w:pPr>
        <w:adjustRightInd w:val="0"/>
        <w:snapToGrid w:val="0"/>
        <w:spacing w:line="360" w:lineRule="auto"/>
        <w:rPr>
          <w:rFonts w:hint="eastAsia" w:ascii="仿宋" w:hAnsi="仿宋" w:eastAsia="仿宋" w:cs="仿宋"/>
          <w:b/>
          <w:color w:val="auto"/>
          <w:sz w:val="24"/>
          <w:szCs w:val="24"/>
        </w:rPr>
      </w:pPr>
    </w:p>
    <w:p w14:paraId="29762F83">
      <w:pPr>
        <w:adjustRightInd w:val="0"/>
        <w:snapToGrid w:val="0"/>
        <w:spacing w:line="360" w:lineRule="auto"/>
        <w:rPr>
          <w:rFonts w:hint="eastAsia" w:ascii="仿宋" w:hAnsi="仿宋" w:eastAsia="仿宋" w:cs="仿宋"/>
          <w:b/>
          <w:color w:val="auto"/>
          <w:sz w:val="24"/>
          <w:szCs w:val="24"/>
        </w:rPr>
      </w:pPr>
    </w:p>
    <w:p w14:paraId="78229773">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三、符合基本资格条件证明材料复印件或者情况说明</w:t>
      </w:r>
    </w:p>
    <w:p w14:paraId="54735C03">
      <w:pPr>
        <w:adjustRightInd w:val="0"/>
        <w:snapToGrid w:val="0"/>
        <w:spacing w:line="360" w:lineRule="auto"/>
        <w:jc w:val="center"/>
        <w:rPr>
          <w:rFonts w:hint="eastAsia" w:ascii="仿宋" w:hAnsi="仿宋" w:eastAsia="仿宋" w:cs="仿宋"/>
          <w:b/>
          <w:color w:val="auto"/>
          <w:sz w:val="24"/>
          <w:szCs w:val="24"/>
        </w:rPr>
      </w:pPr>
    </w:p>
    <w:p w14:paraId="0FED4E0A">
      <w:pPr>
        <w:pStyle w:val="3"/>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及资格要求的证明材料，提供信用中国网页查询截图，</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14:paraId="4E5CCDEF">
      <w:pPr>
        <w:widowControl/>
        <w:spacing w:after="100" w:afterAutospacing="1" w:line="360" w:lineRule="auto"/>
        <w:ind w:left="227" w:right="113" w:firstLine="482"/>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510A0E3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按照《政府采购促进中小企业发展管理办法》(财库〔2020〕46号)规定，</w:t>
      </w:r>
    </w:p>
    <w:p w14:paraId="42ADF3B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本公司企业规模为：          （大型、中型、小型、微型 ）</w:t>
      </w:r>
    </w:p>
    <w:p w14:paraId="3C2F2CEF">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14:paraId="7506E915">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14:paraId="4444F748">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14:paraId="57E1888B">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14:paraId="11EB8462">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14:paraId="36828CDF">
      <w:pPr>
        <w:adjustRightInd w:val="0"/>
        <w:snapToGrid w:val="0"/>
        <w:spacing w:line="360" w:lineRule="auto"/>
        <w:rPr>
          <w:rFonts w:hint="eastAsia" w:ascii="仿宋" w:hAnsi="仿宋" w:eastAsia="仿宋" w:cs="仿宋"/>
          <w:b w:val="0"/>
          <w:bCs w:val="0"/>
          <w:color w:val="auto"/>
          <w:kern w:val="2"/>
          <w:sz w:val="24"/>
          <w:szCs w:val="24"/>
          <w:lang w:val="en-US" w:eastAsia="zh-CN" w:bidi="ar-SA"/>
        </w:rPr>
      </w:pPr>
    </w:p>
    <w:p w14:paraId="269D08E1">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14:paraId="62AFD6FD">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2023年     月     日</w:t>
      </w:r>
    </w:p>
    <w:p w14:paraId="1596CAA4">
      <w:pPr>
        <w:jc w:val="left"/>
        <w:rPr>
          <w:rFonts w:hint="eastAsia" w:ascii="仿宋" w:hAnsi="仿宋" w:eastAsia="仿宋" w:cs="仿宋"/>
          <w:b w:val="0"/>
          <w:bCs w:val="0"/>
          <w:color w:val="auto"/>
          <w:kern w:val="2"/>
          <w:sz w:val="24"/>
          <w:szCs w:val="24"/>
          <w:lang w:val="en-US" w:eastAsia="zh-CN" w:bidi="ar-SA"/>
        </w:rPr>
      </w:pPr>
    </w:p>
    <w:p w14:paraId="10F75BEF">
      <w:pPr>
        <w:jc w:val="left"/>
        <w:rPr>
          <w:rFonts w:hint="eastAsia" w:ascii="仿宋" w:hAnsi="仿宋" w:eastAsia="仿宋" w:cs="仿宋"/>
          <w:b w:val="0"/>
          <w:bCs w:val="0"/>
          <w:color w:val="auto"/>
          <w:kern w:val="2"/>
          <w:sz w:val="24"/>
          <w:szCs w:val="24"/>
          <w:lang w:val="en-US" w:eastAsia="zh-CN" w:bidi="ar-SA"/>
        </w:rPr>
      </w:pPr>
    </w:p>
    <w:p w14:paraId="47DF1938">
      <w:pPr>
        <w:jc w:val="left"/>
        <w:rPr>
          <w:rFonts w:hint="eastAsia" w:ascii="仿宋" w:hAnsi="仿宋" w:eastAsia="仿宋" w:cs="仿宋"/>
          <w:b/>
          <w:color w:val="auto"/>
          <w:sz w:val="24"/>
          <w:szCs w:val="24"/>
          <w:lang w:val="en-US" w:eastAsia="zh-CN"/>
        </w:rPr>
      </w:pPr>
      <w:r>
        <w:rPr>
          <w:rFonts w:hint="eastAsia" w:ascii="仿宋" w:hAnsi="仿宋" w:eastAsia="仿宋" w:cs="仿宋"/>
          <w:b w:val="0"/>
          <w:bCs w:val="0"/>
          <w:color w:val="auto"/>
          <w:kern w:val="2"/>
          <w:sz w:val="24"/>
          <w:szCs w:val="24"/>
          <w:lang w:val="en-US" w:eastAsia="zh-CN" w:bidi="ar-SA"/>
        </w:rPr>
        <w:t>注、企业规模划分标准：《关于印发中小企业划型标准规定的通知》（工信部联企业〔2011〕300号）</w:t>
      </w:r>
    </w:p>
    <w:p w14:paraId="5E537B90">
      <w:pPr>
        <w:jc w:val="center"/>
        <w:rPr>
          <w:rFonts w:hint="eastAsia" w:ascii="仿宋" w:hAnsi="仿宋" w:eastAsia="仿宋" w:cs="仿宋"/>
          <w:b/>
          <w:color w:val="auto"/>
          <w:sz w:val="24"/>
          <w:szCs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278B230C">
      <w:pPr>
        <w:spacing w:before="120" w:beforeLines="50" w:after="120" w:afterLines="50" w:line="276"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第三部分、采购需求响应程度</w:t>
      </w:r>
      <w:bookmarkStart w:id="2" w:name="_Toc476514128"/>
      <w:bookmarkStart w:id="3" w:name="_Toc486424819"/>
    </w:p>
    <w:p w14:paraId="54FE56EB">
      <w:pPr>
        <w:pStyle w:val="16"/>
        <w:rPr>
          <w:rFonts w:hint="eastAsia" w:ascii="仿宋" w:hAnsi="仿宋" w:eastAsia="仿宋" w:cs="仿宋"/>
          <w:sz w:val="24"/>
          <w:szCs w:val="24"/>
          <w:lang w:eastAsia="zh-CN"/>
        </w:rPr>
      </w:pPr>
    </w:p>
    <w:p w14:paraId="183F5001">
      <w:pPr>
        <w:spacing w:before="120" w:beforeLines="50" w:after="120" w:afterLines="50" w:line="276"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采购需求响应/偏离表</w:t>
      </w:r>
    </w:p>
    <w:p w14:paraId="62A95FFC">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项目编号：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AFE9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855A64">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bCs/>
                <w:color w:val="auto"/>
                <w:sz w:val="24"/>
                <w:szCs w:val="24"/>
              </w:rPr>
              <w:t>序</w:t>
            </w:r>
            <w:r>
              <w:rPr>
                <w:rFonts w:hint="eastAsia" w:ascii="仿宋" w:hAnsi="仿宋" w:eastAsia="仿宋" w:cs="仿宋"/>
                <w:color w:val="auto"/>
                <w:sz w:val="24"/>
                <w:szCs w:val="24"/>
              </w:rPr>
              <w:t>号</w:t>
            </w:r>
          </w:p>
        </w:tc>
        <w:tc>
          <w:tcPr>
            <w:tcW w:w="1123" w:type="pct"/>
            <w:noWrap w:val="0"/>
            <w:vAlign w:val="center"/>
          </w:tcPr>
          <w:p w14:paraId="4C398DFE">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招标文件章节</w:t>
            </w:r>
            <w:r>
              <w:rPr>
                <w:rFonts w:hint="eastAsia" w:ascii="仿宋" w:hAnsi="仿宋" w:eastAsia="仿宋" w:cs="仿宋"/>
                <w:bCs/>
                <w:color w:val="auto"/>
                <w:sz w:val="24"/>
                <w:szCs w:val="24"/>
              </w:rPr>
              <w:t>条</w:t>
            </w:r>
            <w:r>
              <w:rPr>
                <w:rFonts w:hint="eastAsia" w:ascii="仿宋" w:hAnsi="仿宋" w:eastAsia="仿宋" w:cs="仿宋"/>
                <w:color w:val="auto"/>
                <w:sz w:val="24"/>
                <w:szCs w:val="24"/>
              </w:rPr>
              <w:t>款号</w:t>
            </w:r>
          </w:p>
        </w:tc>
        <w:tc>
          <w:tcPr>
            <w:tcW w:w="1000" w:type="pct"/>
            <w:noWrap w:val="0"/>
            <w:vAlign w:val="top"/>
          </w:tcPr>
          <w:p w14:paraId="421C1418">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招标文件要求</w:t>
            </w:r>
          </w:p>
        </w:tc>
        <w:tc>
          <w:tcPr>
            <w:tcW w:w="962" w:type="pct"/>
            <w:noWrap w:val="0"/>
            <w:vAlign w:val="top"/>
          </w:tcPr>
          <w:p w14:paraId="2FC388AC">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投标文件应答</w:t>
            </w:r>
          </w:p>
        </w:tc>
        <w:tc>
          <w:tcPr>
            <w:tcW w:w="905" w:type="pct"/>
            <w:noWrap w:val="0"/>
            <w:vAlign w:val="center"/>
          </w:tcPr>
          <w:p w14:paraId="4D187CAD">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响应/偏离</w:t>
            </w:r>
          </w:p>
        </w:tc>
        <w:tc>
          <w:tcPr>
            <w:tcW w:w="634" w:type="pct"/>
            <w:noWrap w:val="0"/>
            <w:vAlign w:val="center"/>
          </w:tcPr>
          <w:p w14:paraId="4ECE675F">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偏离说明</w:t>
            </w:r>
          </w:p>
        </w:tc>
      </w:tr>
      <w:tr w14:paraId="7CBA2F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7F830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285080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2362F44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4E2BD7E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7A14580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3023B53B">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3B5AD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EDA484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588214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74C1064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362F2D3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05FAEB6">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42226E6E">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60AFC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DBD5707">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7E9A15CC">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5B4C296D">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11E3097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390EB91">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04310183">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0CC01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6336191">
            <w:pPr>
              <w:rPr>
                <w:rFonts w:hint="eastAsia" w:ascii="仿宋" w:hAnsi="仿宋" w:eastAsia="仿宋" w:cs="仿宋"/>
                <w:b/>
                <w:color w:val="auto"/>
                <w:sz w:val="24"/>
                <w:szCs w:val="24"/>
              </w:rPr>
            </w:pPr>
          </w:p>
        </w:tc>
      </w:tr>
    </w:tbl>
    <w:p w14:paraId="5E2305B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b/>
          <w:color w:val="auto"/>
          <w:sz w:val="24"/>
          <w:szCs w:val="24"/>
        </w:rPr>
        <w:t>备注</w:t>
      </w:r>
      <w:r>
        <w:rPr>
          <w:rFonts w:hint="eastAsia" w:ascii="仿宋" w:hAnsi="仿宋" w:eastAsia="仿宋" w:cs="仿宋"/>
          <w:color w:val="auto"/>
          <w:sz w:val="24"/>
          <w:szCs w:val="24"/>
        </w:rPr>
        <w:t>：</w:t>
      </w:r>
    </w:p>
    <w:bookmarkEnd w:id="2"/>
    <w:bookmarkEnd w:id="3"/>
    <w:p w14:paraId="00B9F19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（1）投标人应根据招标文件第</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章中采购需求填写本表，逐条应答；</w:t>
      </w:r>
    </w:p>
    <w:p w14:paraId="7A02B97E">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（2）如不提供此表，则视为投标人不满足招标文件第三章的所有条款要求，其投标无效；</w:t>
      </w:r>
    </w:p>
    <w:p w14:paraId="5B7AEB0F">
      <w:pPr>
        <w:adjustRightInd w:val="0"/>
        <w:snapToGrid w:val="0"/>
        <w:spacing w:before="50" w:line="360" w:lineRule="auto"/>
        <w:ind w:left="-88" w:leftChars="-42"/>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本项目为最低价评分法，所有参数必须全部响应，并在响应表中逐条应答，如有任何一条负偏离，则视为无效投标</w:t>
      </w:r>
    </w:p>
    <w:p w14:paraId="06724E5B">
      <w:pPr>
        <w:pStyle w:val="15"/>
        <w:rPr>
          <w:rFonts w:hint="eastAsia" w:ascii="仿宋" w:hAnsi="仿宋" w:eastAsia="仿宋" w:cs="仿宋"/>
          <w:color w:val="auto"/>
          <w:sz w:val="24"/>
          <w:szCs w:val="24"/>
        </w:rPr>
      </w:pPr>
    </w:p>
    <w:p w14:paraId="359A2A68">
      <w:pPr>
        <w:pStyle w:val="16"/>
        <w:rPr>
          <w:rFonts w:hint="eastAsia" w:ascii="仿宋" w:hAnsi="仿宋" w:eastAsia="仿宋" w:cs="仿宋"/>
          <w:sz w:val="24"/>
          <w:szCs w:val="24"/>
          <w:lang w:eastAsia="zh-CN"/>
        </w:rPr>
      </w:pPr>
    </w:p>
    <w:p w14:paraId="1B0F2890">
      <w:pPr>
        <w:rPr>
          <w:rFonts w:hint="eastAsia" w:ascii="仿宋" w:hAnsi="仿宋" w:eastAsia="仿宋" w:cs="仿宋"/>
          <w:sz w:val="24"/>
          <w:szCs w:val="24"/>
        </w:rPr>
      </w:pPr>
    </w:p>
    <w:p w14:paraId="1D82947A"/>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125E">
    <w:pPr>
      <w:pStyle w:val="7"/>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814F5">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6814F5">
                    <w:pPr>
                      <w:pStyle w:val="7"/>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4EA276C6">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4AB5">
    <w:pPr>
      <w:pStyle w:val="7"/>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B9702">
                          <w:pPr>
                            <w:pStyle w:val="7"/>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CB9702">
                    <w:pPr>
                      <w:pStyle w:val="7"/>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7DCECDE1">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8467">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B4E02A"/>
    <w:multiLevelType w:val="singleLevel"/>
    <w:tmpl w:val="89B4E02A"/>
    <w:lvl w:ilvl="0" w:tentative="0">
      <w:start w:val="2"/>
      <w:numFmt w:val="decimal"/>
      <w:suff w:val="nothing"/>
      <w:lvlText w:val="%1、"/>
      <w:lvlJc w:val="left"/>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2F07EC"/>
    <w:rsid w:val="18E758D3"/>
    <w:rsid w:val="2D2F07EC"/>
    <w:rsid w:val="32D305D1"/>
    <w:rsid w:val="359C6581"/>
    <w:rsid w:val="577E24E6"/>
    <w:rsid w:val="5A945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Body Text Indent"/>
    <w:basedOn w:val="1"/>
    <w:next w:val="1"/>
    <w:qFormat/>
    <w:uiPriority w:val="99"/>
    <w:pPr>
      <w:spacing w:line="400" w:lineRule="exact"/>
      <w:ind w:left="630"/>
    </w:pPr>
    <w:rPr>
      <w:rFonts w:ascii="楷体_GB2312"/>
      <w:sz w:val="30"/>
      <w:szCs w:val="30"/>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styleId="10">
    <w:name w:val="Body Text First Indent 2"/>
    <w:basedOn w:val="6"/>
    <w:next w:val="4"/>
    <w:qFormat/>
    <w:uiPriority w:val="0"/>
    <w:pPr>
      <w:overflowPunct w:val="0"/>
      <w:adjustRightInd w:val="0"/>
      <w:spacing w:line="500" w:lineRule="exact"/>
      <w:ind w:firstLine="420" w:firstLineChars="200"/>
      <w:textAlignment w:val="baseline"/>
    </w:pPr>
    <w:rPr>
      <w:rFonts w:eastAsia="仿宋_GB2312"/>
      <w:kern w:val="28"/>
      <w:sz w:val="28"/>
    </w:rPr>
  </w:style>
  <w:style w:type="paragraph" w:customStyle="1" w:styleId="13">
    <w:name w:val="大标题"/>
    <w:basedOn w:val="1"/>
    <w:next w:val="10"/>
    <w:autoRedefine/>
    <w:qFormat/>
    <w:uiPriority w:val="0"/>
    <w:pPr>
      <w:jc w:val="center"/>
    </w:pPr>
    <w:rPr>
      <w:rFonts w:ascii="Arial" w:hAnsi="Arial" w:eastAsia="宋体"/>
      <w:b/>
      <w:sz w:val="28"/>
      <w:szCs w:val="24"/>
    </w:rPr>
  </w:style>
  <w:style w:type="paragraph" w:customStyle="1" w:styleId="14">
    <w:name w:val="正文格式"/>
    <w:basedOn w:val="1"/>
    <w:autoRedefine/>
    <w:qFormat/>
    <w:uiPriority w:val="0"/>
    <w:pPr>
      <w:widowControl/>
      <w:adjustRightInd w:val="0"/>
      <w:snapToGrid w:val="0"/>
      <w:spacing w:line="400" w:lineRule="atLeast"/>
      <w:ind w:firstLine="482"/>
      <w:textAlignment w:val="baseline"/>
    </w:pPr>
    <w:rPr>
      <w:kern w:val="0"/>
      <w:sz w:val="24"/>
    </w:rPr>
  </w:style>
  <w:style w:type="paragraph" w:customStyle="1" w:styleId="15">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
    <w:name w:val="列出段落1"/>
    <w:basedOn w:val="1"/>
    <w:autoRedefine/>
    <w:qFormat/>
    <w:uiPriority w:val="99"/>
    <w:pPr>
      <w:ind w:firstLine="420" w:firstLineChars="200"/>
    </w:pPr>
  </w:style>
  <w:style w:type="paragraph" w:customStyle="1" w:styleId="17">
    <w:name w:val="正文 A"/>
    <w:qFormat/>
    <w:uiPriority w:val="0"/>
    <w:pPr>
      <w:spacing w:after="200" w:line="249" w:lineRule="auto"/>
    </w:pPr>
    <w:rPr>
      <w:rFonts w:ascii="Cambria" w:hAnsi="Cambria" w:eastAsia="Cambria" w:cs="Cambria"/>
      <w:color w:val="000000"/>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8520</Words>
  <Characters>9083</Characters>
  <Lines>0</Lines>
  <Paragraphs>0</Paragraphs>
  <TotalTime>8</TotalTime>
  <ScaleCrop>false</ScaleCrop>
  <LinksUpToDate>false</LinksUpToDate>
  <CharactersWithSpaces>10111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2025-02-17T00:49:00Z</dcterms:created>
  <dc:creator>胡涛</dc:creator>
  <cp:lastModifiedBy>胡涛</cp:lastModifiedBy>
  <dcterms:modified xsi:type="dcterms:W3CDTF">2025-02-17T03:03:20Z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3404AEA973AF46A79E7772876699344B_11</vt:lpwstr>
  </property>
  <property fmtid="{D5CDD505-2E9C-101B-9397-08002B2CF9AE}" pid="4" name="KSOTemplateDocerSaveRecord">
    <vt:lpwstr>eyJoZGlkIjoiYzMwMzM2OTUxOTFiM2RiNWQ0YWU2YTg5Y2EwODRiZDUiLCJ1c2VySWQiOiIyNjQ2NDY0ODUifQ==</vt:lpwstr>
  </property>
</Properties>
</file>