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C85DA">
      <w:pPr>
        <w:pStyle w:val="13"/>
        <w:snapToGrid w:val="0"/>
        <w:jc w:val="center"/>
        <w:rPr>
          <w:rFonts w:ascii="Arial" w:hAnsi="Arial" w:eastAsia="方正小标宋简体" w:cs="Arial"/>
          <w:color w:val="auto"/>
          <w:sz w:val="72"/>
          <w:szCs w:val="72"/>
        </w:rPr>
      </w:pPr>
      <w:bookmarkStart w:id="0" w:name="_Toc16523570"/>
    </w:p>
    <w:p w14:paraId="624C34B6">
      <w:pPr>
        <w:pStyle w:val="13"/>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3"/>
        <w:snapToGrid w:val="0"/>
        <w:jc w:val="center"/>
        <w:rPr>
          <w:rFonts w:hint="eastAsia" w:ascii="Arial" w:hAnsi="Arial" w:eastAsia="方正小标宋简体" w:cs="Arial"/>
          <w:sz w:val="72"/>
          <w:szCs w:val="72"/>
        </w:rPr>
      </w:pPr>
    </w:p>
    <w:p w14:paraId="16E58BC0">
      <w:pPr>
        <w:pStyle w:val="13"/>
        <w:snapToGrid w:val="0"/>
        <w:jc w:val="center"/>
        <w:rPr>
          <w:rFonts w:hint="eastAsia" w:ascii="Arial" w:hAnsi="Arial" w:eastAsia="方正小标宋简体" w:cs="Arial"/>
          <w:sz w:val="72"/>
          <w:szCs w:val="72"/>
        </w:rPr>
      </w:pPr>
    </w:p>
    <w:p w14:paraId="7D3C3256">
      <w:pPr>
        <w:pStyle w:val="13"/>
        <w:snapToGrid w:val="0"/>
        <w:jc w:val="center"/>
        <w:rPr>
          <w:rFonts w:hint="eastAsia" w:ascii="Arial" w:hAnsi="Arial" w:eastAsia="方正小标宋简体" w:cs="Arial"/>
          <w:sz w:val="72"/>
          <w:szCs w:val="72"/>
        </w:rPr>
      </w:pPr>
    </w:p>
    <w:p w14:paraId="247FDB96">
      <w:pPr>
        <w:pStyle w:val="13"/>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7A0B0393">
      <w:pPr>
        <w:pStyle w:val="13"/>
        <w:snapToGrid w:val="0"/>
        <w:jc w:val="center"/>
        <w:rPr>
          <w:rFonts w:ascii="Arial" w:hAnsi="Arial" w:eastAsia="方正小标宋简体" w:cs="Arial"/>
          <w:sz w:val="36"/>
          <w:szCs w:val="36"/>
        </w:rPr>
      </w:pPr>
    </w:p>
    <w:p w14:paraId="285B29A7">
      <w:pPr>
        <w:pStyle w:val="14"/>
        <w:rPr>
          <w:rFonts w:ascii="Arial" w:hAnsi="Arial" w:eastAsia="方正小标宋简体" w:cs="Arial"/>
          <w:sz w:val="36"/>
          <w:szCs w:val="36"/>
        </w:rPr>
      </w:pPr>
    </w:p>
    <w:p w14:paraId="4BCC30B8">
      <w:pPr>
        <w:pStyle w:val="9"/>
        <w:rPr>
          <w:rFonts w:ascii="Arial" w:hAnsi="Arial" w:eastAsia="方正小标宋简体" w:cs="Arial"/>
          <w:sz w:val="36"/>
          <w:szCs w:val="36"/>
        </w:rPr>
      </w:pPr>
    </w:p>
    <w:p w14:paraId="02425ADE">
      <w:pPr>
        <w:pStyle w:val="9"/>
        <w:rPr>
          <w:rFonts w:ascii="Arial" w:hAnsi="Arial" w:eastAsia="方正小标宋简体" w:cs="Arial"/>
          <w:sz w:val="36"/>
          <w:szCs w:val="36"/>
        </w:rPr>
      </w:pPr>
    </w:p>
    <w:p w14:paraId="70EEFCB1">
      <w:pPr>
        <w:pStyle w:val="9"/>
        <w:rPr>
          <w:rFonts w:ascii="Arial" w:hAnsi="Arial" w:eastAsia="方正小标宋简体" w:cs="Arial"/>
          <w:sz w:val="36"/>
          <w:szCs w:val="36"/>
        </w:rPr>
      </w:pPr>
    </w:p>
    <w:p w14:paraId="138D3AFA">
      <w:pPr>
        <w:pStyle w:val="9"/>
        <w:rPr>
          <w:rFonts w:ascii="Arial" w:hAnsi="Arial" w:eastAsia="方正小标宋简体" w:cs="Arial"/>
          <w:sz w:val="36"/>
          <w:szCs w:val="36"/>
        </w:rPr>
      </w:pPr>
    </w:p>
    <w:p w14:paraId="1816A219">
      <w:pPr>
        <w:pStyle w:val="9"/>
        <w:rPr>
          <w:rFonts w:ascii="Arial" w:hAnsi="Arial" w:eastAsia="方正小标宋简体" w:cs="Arial"/>
          <w:sz w:val="36"/>
          <w:szCs w:val="36"/>
        </w:rPr>
      </w:pPr>
    </w:p>
    <w:p w14:paraId="404D9E5B">
      <w:pPr>
        <w:pStyle w:val="9"/>
        <w:rPr>
          <w:rFonts w:ascii="Arial" w:hAnsi="Arial" w:eastAsia="方正小标宋简体" w:cs="Arial"/>
          <w:sz w:val="36"/>
          <w:szCs w:val="36"/>
        </w:rPr>
      </w:pPr>
    </w:p>
    <w:p w14:paraId="4A7BBC85">
      <w:pPr>
        <w:pStyle w:val="13"/>
        <w:snapToGrid w:val="0"/>
        <w:jc w:val="center"/>
        <w:rPr>
          <w:rFonts w:ascii="Arial" w:hAnsi="Arial" w:cs="Arial"/>
          <w:sz w:val="32"/>
          <w:szCs w:val="32"/>
        </w:rPr>
      </w:pPr>
    </w:p>
    <w:p w14:paraId="5D6891B0">
      <w:pPr>
        <w:pStyle w:val="13"/>
        <w:snapToGrid w:val="0"/>
        <w:jc w:val="center"/>
        <w:rPr>
          <w:rFonts w:ascii="Arial" w:hAnsi="Arial" w:cs="Arial"/>
          <w:sz w:val="32"/>
          <w:szCs w:val="32"/>
        </w:rPr>
      </w:pPr>
    </w:p>
    <w:p w14:paraId="71F500A4">
      <w:pPr>
        <w:pStyle w:val="13"/>
        <w:snapToGrid w:val="0"/>
        <w:jc w:val="center"/>
        <w:rPr>
          <w:rFonts w:ascii="Arial" w:hAnsi="Arial" w:cs="Arial"/>
          <w:sz w:val="32"/>
          <w:szCs w:val="32"/>
        </w:rPr>
      </w:pPr>
    </w:p>
    <w:p w14:paraId="71AE6BAC">
      <w:pPr>
        <w:spacing w:line="360" w:lineRule="auto"/>
        <w:rPr>
          <w:rFonts w:hint="eastAsia"/>
          <w:bCs/>
          <w:sz w:val="32"/>
          <w:szCs w:val="32"/>
        </w:rPr>
      </w:pPr>
    </w:p>
    <w:p w14:paraId="4DC585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14A2038A">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（妇科射频治疗仪</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14:paraId="5335A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14:paraId="165CBFBA">
      <w:pPr>
        <w:spacing w:line="320" w:lineRule="exact"/>
        <w:jc w:val="left"/>
        <w:rPr>
          <w:sz w:val="24"/>
        </w:rPr>
      </w:pPr>
    </w:p>
    <w:p w14:paraId="5C0D5D92">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三</w:t>
      </w:r>
      <w:r>
        <w:rPr>
          <w:rFonts w:hint="eastAsia" w:ascii="宋体" w:hAnsi="宋体" w:cs="宋体"/>
          <w:bCs/>
          <w:sz w:val="32"/>
          <w:szCs w:val="32"/>
        </w:rPr>
        <w:t>月</w:t>
      </w:r>
    </w:p>
    <w:p w14:paraId="39517B17">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4CDE80D5">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妇科射频治疗仪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5EC85FFA">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3906492F">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妇科射频治疗仪</w:t>
      </w:r>
      <w:r>
        <w:rPr>
          <w:rFonts w:hint="eastAsia" w:asciiTheme="minorEastAsia" w:hAnsiTheme="minorEastAsia" w:eastAsiaTheme="minorEastAsia" w:cstheme="minorEastAsia"/>
          <w:b w:val="0"/>
          <w:bCs/>
          <w:color w:val="auto"/>
          <w:sz w:val="24"/>
          <w:szCs w:val="24"/>
          <w:lang w:val="en-US" w:eastAsia="zh-CN"/>
        </w:rPr>
        <w:t>采购项目</w:t>
      </w:r>
    </w:p>
    <w:p w14:paraId="6ECACE7D">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549F44A8">
      <w:pPr>
        <w:pStyle w:val="13"/>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医院公开挂网，按招标文件评分规则进行评审，以评审结果排序，综合评分得分相同的，按投标报价由低到高顺序排列，得分且投标报价相同的，按技术指标优劣顺序排列。</w:t>
      </w:r>
    </w:p>
    <w:bookmarkEnd w:id="0"/>
    <w:p w14:paraId="32757B3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7D56041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789D34E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14:paraId="21C864B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8CFB5B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13CD957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B640F9F">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1273820A">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6D29087">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438F044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3D06705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85C1E21">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4E7B3BC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1D47E51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4F3720FD">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25BDABC2">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6B9F99DC">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1.7、技术参数负偏离大于10条的。</w:t>
      </w:r>
    </w:p>
    <w:p w14:paraId="006E0E4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6162060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89B0C0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50974657">
      <w:pPr>
        <w:pStyle w:val="14"/>
        <w:rPr>
          <w:rFonts w:hint="eastAsia"/>
          <w:lang w:val="en-US" w:eastAsia="zh-CN"/>
        </w:rPr>
      </w:pPr>
    </w:p>
    <w:p w14:paraId="24F3677D">
      <w:pPr>
        <w:pStyle w:val="14"/>
        <w:jc w:val="both"/>
        <w:rPr>
          <w:rFonts w:hint="default"/>
          <w:lang w:val="en-US" w:eastAsia="zh-CN"/>
        </w:rPr>
      </w:pPr>
    </w:p>
    <w:p w14:paraId="3AB80244">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B4DC417">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443E9672">
      <w:pPr>
        <w:pStyle w:val="14"/>
        <w:rPr>
          <w:rFonts w:hint="eastAsia" w:ascii="宋体" w:hAnsi="宋体" w:cs="宋体"/>
          <w:b/>
          <w:bCs/>
          <w:color w:val="auto"/>
          <w:sz w:val="44"/>
          <w:szCs w:val="44"/>
          <w:lang w:val="en-US" w:eastAsia="zh-CN"/>
        </w:rPr>
      </w:pPr>
    </w:p>
    <w:p w14:paraId="5BA5BAC5">
      <w:pPr>
        <w:pStyle w:val="9"/>
        <w:rPr>
          <w:rFonts w:hint="eastAsia" w:ascii="宋体" w:hAnsi="宋体" w:cs="宋体"/>
          <w:b/>
          <w:bCs/>
          <w:color w:val="auto"/>
          <w:sz w:val="44"/>
          <w:szCs w:val="44"/>
          <w:lang w:val="en-US" w:eastAsia="zh-CN"/>
        </w:rPr>
      </w:pPr>
    </w:p>
    <w:p w14:paraId="311D956D">
      <w:pPr>
        <w:rPr>
          <w:rFonts w:hint="eastAsia" w:ascii="宋体" w:hAnsi="宋体" w:cs="宋体"/>
          <w:b/>
          <w:bCs/>
          <w:color w:val="auto"/>
          <w:sz w:val="44"/>
          <w:szCs w:val="44"/>
          <w:lang w:val="en-US" w:eastAsia="zh-CN"/>
        </w:rPr>
      </w:pPr>
    </w:p>
    <w:p w14:paraId="5EA6EFA8">
      <w:pPr>
        <w:pStyle w:val="12"/>
        <w:rPr>
          <w:rFonts w:hint="eastAsia"/>
          <w:lang w:val="en-US" w:eastAsia="zh-CN"/>
        </w:rPr>
      </w:pPr>
    </w:p>
    <w:p w14:paraId="02602556">
      <w:pPr>
        <w:pStyle w:val="2"/>
        <w:rPr>
          <w:rFonts w:hint="eastAsia" w:ascii="宋体" w:hAnsi="宋体" w:cs="宋体"/>
          <w:b/>
          <w:bCs/>
          <w:color w:val="auto"/>
          <w:sz w:val="44"/>
          <w:szCs w:val="44"/>
          <w:lang w:val="en-US" w:eastAsia="zh-CN"/>
        </w:rPr>
      </w:pPr>
    </w:p>
    <w:p w14:paraId="1AE91E79">
      <w:pPr>
        <w:rPr>
          <w:rFonts w:hint="eastAsia" w:ascii="宋体" w:hAnsi="宋体" w:cs="宋体"/>
          <w:b/>
          <w:bCs/>
          <w:color w:val="auto"/>
          <w:sz w:val="44"/>
          <w:szCs w:val="44"/>
          <w:lang w:val="en-US" w:eastAsia="zh-CN"/>
        </w:rPr>
      </w:pPr>
    </w:p>
    <w:p w14:paraId="6E5E4BA7">
      <w:pPr>
        <w:rPr>
          <w:rFonts w:hint="eastAsia"/>
          <w:lang w:val="en-US" w:eastAsia="zh-CN"/>
        </w:rPr>
      </w:pPr>
    </w:p>
    <w:p w14:paraId="5A6DF2D9">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78503B1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07D70D0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14:paraId="7FA52B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8319B6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691927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4C3AC3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18F5178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C2FA3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06D92B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D469D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32F3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妇科射频治疗仪</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6185C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71B8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40</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7FA6E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r w14:paraId="2A3ED2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160877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3316C70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2C74AF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7280C9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40</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1837A5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2754A8B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67464D3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371E296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2B16F855">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14:paraId="6C605492">
      <w:pPr>
        <w:spacing w:line="360" w:lineRule="auto"/>
        <w:ind w:firstLine="422" w:firstLineChars="200"/>
        <w:rPr>
          <w:rFonts w:hint="eastAsia"/>
          <w:b/>
          <w:bCs/>
          <w:lang w:val="en-US" w:eastAsia="zh-CN"/>
        </w:rPr>
      </w:pPr>
      <w:r>
        <w:rPr>
          <w:rFonts w:hint="eastAsia"/>
          <w:b/>
          <w:bCs/>
          <w:lang w:val="en-US" w:eastAsia="zh-CN"/>
        </w:rPr>
        <w:t>技术参数：</w:t>
      </w:r>
    </w:p>
    <w:p w14:paraId="0BAA632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电源：交流220V ，50HZ±1 HZ；</w:t>
      </w:r>
    </w:p>
    <w:p w14:paraId="5A24F3C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Style w:val="19"/>
          <w:rFonts w:hint="eastAsia" w:ascii="宋体" w:hAnsi="宋体"/>
          <w:color w:val="auto"/>
          <w:sz w:val="24"/>
          <w:szCs w:val="24"/>
        </w:rPr>
        <w:t>▲</w:t>
      </w:r>
      <w:r>
        <w:rPr>
          <w:rFonts w:hint="eastAsia" w:asciiTheme="minorEastAsia" w:hAnsiTheme="minorEastAsia" w:eastAsiaTheme="minorEastAsia" w:cstheme="minorEastAsia"/>
          <w:bCs/>
          <w:color w:val="auto"/>
          <w:kern w:val="0"/>
          <w:sz w:val="24"/>
          <w:szCs w:val="24"/>
          <w:lang w:val="en-US" w:eastAsia="zh-CN" w:bidi="ar-SA"/>
        </w:rPr>
        <w:t>2  工作频率：550KHz±40KHz；</w:t>
      </w:r>
    </w:p>
    <w:p w14:paraId="7AF7FB1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整机功耗：≤300W</w:t>
      </w:r>
    </w:p>
    <w:p w14:paraId="5D0241D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输出功率：15-50W可调，步进为1W</w:t>
      </w:r>
    </w:p>
    <w:p w14:paraId="777E997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温度控制范围：0-47℃</w:t>
      </w:r>
    </w:p>
    <w:p w14:paraId="4AEAA71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阻抗百分比显示为：100~999%</w:t>
      </w:r>
    </w:p>
    <w:p w14:paraId="3FB51E6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治疗电极要求</w:t>
      </w:r>
    </w:p>
    <w:p w14:paraId="15D85BF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7.1</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电极具有温度监测功能，能实时监测治疗温度。</w:t>
      </w:r>
    </w:p>
    <w:p w14:paraId="1458E77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7.2</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绝缘层材料必须符合医用要求，使用时不能成块脱落，要有符合国家药监局要求的组织相容性要求。</w:t>
      </w:r>
    </w:p>
    <w:p w14:paraId="1B3FE61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7.3</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治疗电极具有独立注册证。</w:t>
      </w:r>
    </w:p>
    <w:p w14:paraId="3717A77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治疗参数及显示</w:t>
      </w:r>
    </w:p>
    <w:p w14:paraId="3AB7D98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8.1</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治疗功率：能实时显示和跟踪治疗功率，并且最小治疗功率大于15W。</w:t>
      </w:r>
    </w:p>
    <w:p w14:paraId="0533AC2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8.2</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治疗计时显示：能自动识别治疗过程，连续累计显示治疗时间。</w:t>
      </w:r>
    </w:p>
    <w:p w14:paraId="6A1E1FF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8.3</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阻抗实时显示：能实时显示治疗时的人体阻抗变化值</w:t>
      </w:r>
    </w:p>
    <w:p w14:paraId="6E88DA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技术性能要求</w:t>
      </w:r>
    </w:p>
    <w:p w14:paraId="0028F14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Style w:val="19"/>
          <w:rFonts w:hint="eastAsia" w:ascii="宋体" w:hAnsi="宋体"/>
          <w:color w:val="auto"/>
          <w:sz w:val="24"/>
          <w:szCs w:val="24"/>
        </w:rPr>
        <w:t>▲</w:t>
      </w:r>
      <w:r>
        <w:rPr>
          <w:rFonts w:hint="eastAsia" w:asciiTheme="minorEastAsia" w:hAnsiTheme="minorEastAsia" w:eastAsiaTheme="minorEastAsia" w:cstheme="minorEastAsia"/>
          <w:bCs/>
          <w:color w:val="auto"/>
          <w:kern w:val="0"/>
          <w:sz w:val="24"/>
          <w:szCs w:val="24"/>
          <w:lang w:val="en-US" w:eastAsia="zh-CN" w:bidi="ar-SA"/>
        </w:rPr>
        <w:t xml:space="preserve">9.1 </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采用单极射频技术，治疗作用可以达到深层组织。</w:t>
      </w:r>
    </w:p>
    <w:p w14:paraId="4E80090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9.2</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对肌层无损伤，不形成瘢痕；治疗时无烟、无痂、不出血。</w:t>
      </w:r>
    </w:p>
    <w:p w14:paraId="2FC5019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9.3</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对盆腔组织修复和阴道松弛有疗效。</w:t>
      </w:r>
    </w:p>
    <w:p w14:paraId="1131CAD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Style w:val="19"/>
          <w:rFonts w:hint="eastAsia" w:ascii="宋体" w:hAnsi="宋体"/>
          <w:color w:val="auto"/>
          <w:sz w:val="24"/>
          <w:szCs w:val="24"/>
        </w:rPr>
        <w:t>▲</w:t>
      </w:r>
      <w:r>
        <w:rPr>
          <w:rFonts w:hint="eastAsia" w:asciiTheme="minorEastAsia" w:hAnsiTheme="minorEastAsia" w:eastAsiaTheme="minorEastAsia" w:cstheme="minorEastAsia"/>
          <w:bCs/>
          <w:color w:val="auto"/>
          <w:kern w:val="0"/>
          <w:sz w:val="24"/>
          <w:szCs w:val="24"/>
          <w:lang w:val="en-US" w:eastAsia="zh-CN" w:bidi="ar-SA"/>
        </w:rPr>
        <w:t xml:space="preserve">9.4 </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內阴治疗时可以进行靶点治疗，对损伤严重部位可以进行加强治疗。</w:t>
      </w:r>
    </w:p>
    <w:p w14:paraId="3423EBB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安全要求</w:t>
      </w:r>
    </w:p>
    <w:p w14:paraId="3EFD6D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10.1</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仪器具有电路短路保护功能，防止因电器回程意外短路造成医疗事故。</w:t>
      </w:r>
    </w:p>
    <w:p w14:paraId="5652396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10.2</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操作手柄中的电路和开头处具有防水功能。</w:t>
      </w:r>
    </w:p>
    <w:p w14:paraId="5BB833D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10.3</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治疗报警：以温度作为治疗报警控制的评定指标，达到预定温度后自动报警。</w:t>
      </w:r>
    </w:p>
    <w:p w14:paraId="2B593D1E">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取得第三类医疗器械注册证。</w:t>
      </w:r>
    </w:p>
    <w:p w14:paraId="4D4FC1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bidi="ar-SA"/>
        </w:rPr>
        <w:t>12</w:t>
      </w:r>
      <w:r>
        <w:rPr>
          <w:rFonts w:hint="eastAsia" w:ascii="宋体" w:hAnsi="宋体" w:cs="宋体"/>
          <w:color w:val="auto"/>
          <w:sz w:val="24"/>
          <w:szCs w:val="24"/>
          <w:lang w:val="en-US" w:eastAsia="zh-CN"/>
        </w:rPr>
        <w:t>耗材报价要求：不得高于下表限价，具体价格由评审委员会负责现场谈判</w:t>
      </w:r>
    </w:p>
    <w:tbl>
      <w:tblPr>
        <w:tblStyle w:val="10"/>
        <w:tblpPr w:leftFromText="180" w:rightFromText="180" w:vertAnchor="text" w:horzAnchor="page" w:tblpX="1800" w:tblpY="507"/>
        <w:tblOverlap w:val="never"/>
        <w:tblW w:w="84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830"/>
        <w:gridCol w:w="4005"/>
      </w:tblGrid>
      <w:tr w14:paraId="11D8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1CBF">
            <w:pPr>
              <w:spacing w:line="360" w:lineRule="auto"/>
              <w:jc w:val="center"/>
              <w:rPr>
                <w:rFonts w:hint="eastAsia"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产品名称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ACD3">
            <w:p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规格</w:t>
            </w:r>
            <w:r>
              <w:rPr>
                <w:rFonts w:hint="eastAsia" w:asciiTheme="minorEastAsia" w:hAnsiTheme="minorEastAsia" w:eastAsiaTheme="minorEastAsia" w:cstheme="minorEastAsia"/>
                <w:bCs/>
                <w:color w:val="auto"/>
                <w:kern w:val="0"/>
                <w:sz w:val="24"/>
                <w:szCs w:val="24"/>
                <w:lang w:val="en-US" w:eastAsia="zh-CN" w:bidi="ar-SA"/>
              </w:rPr>
              <w:t>要求</w:t>
            </w:r>
          </w:p>
        </w:tc>
        <w:tc>
          <w:tcPr>
            <w:tcW w:w="400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5EB14A2">
            <w:p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最高限价（元）</w:t>
            </w:r>
          </w:p>
        </w:tc>
      </w:tr>
      <w:tr w14:paraId="32501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DF16">
            <w:p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一次性使用中性电极</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6E61">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p>
        </w:tc>
        <w:tc>
          <w:tcPr>
            <w:tcW w:w="400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47694A">
            <w:p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小于等于</w:t>
            </w:r>
            <w:r>
              <w:rPr>
                <w:rFonts w:hint="default" w:asciiTheme="minorEastAsia" w:hAnsiTheme="minorEastAsia" w:eastAsiaTheme="minorEastAsia" w:cstheme="minorEastAsia"/>
                <w:bCs/>
                <w:color w:val="auto"/>
                <w:kern w:val="0"/>
                <w:sz w:val="24"/>
                <w:szCs w:val="24"/>
                <w:lang w:val="en-US" w:eastAsia="zh-CN" w:bidi="ar-SA"/>
              </w:rPr>
              <w:t>43</w:t>
            </w:r>
            <w:r>
              <w:rPr>
                <w:rFonts w:hint="eastAsia" w:asciiTheme="minorEastAsia" w:hAnsiTheme="minorEastAsia" w:eastAsiaTheme="minorEastAsia" w:cstheme="minorEastAsia"/>
                <w:bCs/>
                <w:color w:val="auto"/>
                <w:kern w:val="0"/>
                <w:sz w:val="24"/>
                <w:szCs w:val="24"/>
                <w:lang w:val="en-US" w:eastAsia="zh-CN" w:bidi="ar-SA"/>
              </w:rPr>
              <w:t>元/片，且≤（省平台中标价×53%）</w:t>
            </w:r>
          </w:p>
        </w:tc>
      </w:tr>
      <w:tr w14:paraId="19A4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36D">
            <w:p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射频消融电极</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DD93">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p>
        </w:tc>
        <w:tc>
          <w:tcPr>
            <w:tcW w:w="400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22D3B44">
            <w:pPr>
              <w:spacing w:line="360" w:lineRule="auto"/>
              <w:jc w:val="center"/>
              <w:rPr>
                <w:rFonts w:hint="default"/>
                <w:lang w:val="en-US" w:eastAsia="zh-CN"/>
              </w:rPr>
            </w:pPr>
            <w:r>
              <w:rPr>
                <w:rFonts w:hint="eastAsia" w:asciiTheme="minorEastAsia" w:hAnsiTheme="minorEastAsia" w:eastAsiaTheme="minorEastAsia" w:cstheme="minorEastAsia"/>
                <w:bCs/>
                <w:color w:val="auto"/>
                <w:kern w:val="0"/>
                <w:sz w:val="24"/>
                <w:szCs w:val="24"/>
                <w:lang w:val="en-US" w:eastAsia="zh-CN" w:bidi="ar-SA"/>
              </w:rPr>
              <w:t>小于等于</w:t>
            </w:r>
            <w:r>
              <w:rPr>
                <w:rFonts w:hint="default" w:asciiTheme="minorEastAsia" w:hAnsiTheme="minorEastAsia" w:eastAsiaTheme="minorEastAsia" w:cstheme="minorEastAsia"/>
                <w:bCs/>
                <w:color w:val="auto"/>
                <w:kern w:val="0"/>
                <w:sz w:val="24"/>
                <w:szCs w:val="24"/>
                <w:lang w:val="en-US" w:eastAsia="zh-CN" w:bidi="ar-SA"/>
              </w:rPr>
              <w:t>1088</w:t>
            </w:r>
            <w:r>
              <w:rPr>
                <w:rFonts w:hint="eastAsia" w:asciiTheme="minorEastAsia" w:hAnsiTheme="minorEastAsia" w:eastAsiaTheme="minorEastAsia" w:cstheme="minorEastAsia"/>
                <w:bCs/>
                <w:color w:val="auto"/>
                <w:kern w:val="0"/>
                <w:sz w:val="24"/>
                <w:szCs w:val="24"/>
                <w:lang w:val="en-US" w:eastAsia="zh-CN" w:bidi="ar-SA"/>
              </w:rPr>
              <w:t>元/套，且≤（省平台中标价×27.3%）</w:t>
            </w:r>
          </w:p>
        </w:tc>
      </w:tr>
      <w:tr w14:paraId="1BAA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86A">
            <w:p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导光凝胶</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69E4">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3g/支</w:t>
            </w:r>
          </w:p>
        </w:tc>
        <w:tc>
          <w:tcPr>
            <w:tcW w:w="400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FE3BF3D">
            <w:pPr>
              <w:spacing w:line="360" w:lineRule="auto"/>
              <w:jc w:val="center"/>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小于等于</w:t>
            </w:r>
            <w:r>
              <w:rPr>
                <w:rFonts w:hint="default" w:asciiTheme="minorEastAsia" w:hAnsiTheme="minorEastAsia" w:eastAsiaTheme="minorEastAsia" w:cstheme="minorEastAsia"/>
                <w:bCs/>
                <w:color w:val="auto"/>
                <w:kern w:val="0"/>
                <w:sz w:val="24"/>
                <w:szCs w:val="24"/>
                <w:lang w:val="en-US" w:eastAsia="zh-CN" w:bidi="ar-SA"/>
              </w:rPr>
              <w:t>30</w:t>
            </w:r>
            <w:r>
              <w:rPr>
                <w:rFonts w:hint="eastAsia" w:asciiTheme="minorEastAsia" w:hAnsiTheme="minorEastAsia" w:eastAsiaTheme="minorEastAsia" w:cstheme="minorEastAsia"/>
                <w:bCs/>
                <w:color w:val="auto"/>
                <w:kern w:val="0"/>
                <w:sz w:val="24"/>
                <w:szCs w:val="24"/>
                <w:lang w:val="en-US" w:eastAsia="zh-CN" w:bidi="ar-SA"/>
              </w:rPr>
              <w:t>元/支，且≤（省平台省平台中标价×15%）</w:t>
            </w:r>
          </w:p>
        </w:tc>
      </w:tr>
    </w:tbl>
    <w:p w14:paraId="4033835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1DB3A6B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723" w:firstLineChars="3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5CE6D8C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723" w:firstLineChars="3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bCs w:val="0"/>
          <w:color w:val="auto"/>
          <w:kern w:val="0"/>
          <w:sz w:val="24"/>
          <w:szCs w:val="24"/>
          <w:lang w:val="en-US" w:eastAsia="zh-CN" w:bidi="ar-SA"/>
        </w:rPr>
        <w:t>配置：</w:t>
      </w:r>
    </w:p>
    <w:tbl>
      <w:tblPr>
        <w:tblStyle w:val="10"/>
        <w:tblpPr w:leftFromText="180" w:rightFromText="180" w:vertAnchor="text" w:horzAnchor="page" w:tblpX="1965" w:tblpY="525"/>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3225"/>
        <w:gridCol w:w="1950"/>
        <w:gridCol w:w="1770"/>
      </w:tblGrid>
      <w:tr w14:paraId="2EE4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66" w:type="dxa"/>
            <w:noWrap w:val="0"/>
            <w:vAlign w:val="center"/>
          </w:tcPr>
          <w:p w14:paraId="5FB3DE8C">
            <w:pPr>
              <w:jc w:val="center"/>
              <w:rPr>
                <w:rFonts w:hint="eastAsia"/>
                <w:b/>
                <w:bCs/>
                <w:sz w:val="24"/>
                <w:szCs w:val="22"/>
              </w:rPr>
            </w:pPr>
            <w:r>
              <w:rPr>
                <w:rFonts w:hint="eastAsia"/>
                <w:b/>
                <w:bCs/>
                <w:sz w:val="24"/>
                <w:szCs w:val="22"/>
              </w:rPr>
              <w:t>序号</w:t>
            </w:r>
          </w:p>
        </w:tc>
        <w:tc>
          <w:tcPr>
            <w:tcW w:w="3225" w:type="dxa"/>
            <w:noWrap w:val="0"/>
            <w:vAlign w:val="center"/>
          </w:tcPr>
          <w:p w14:paraId="0DD7EF1C">
            <w:pPr>
              <w:jc w:val="center"/>
              <w:rPr>
                <w:rFonts w:hint="eastAsia"/>
                <w:b/>
                <w:bCs/>
                <w:sz w:val="24"/>
                <w:szCs w:val="22"/>
              </w:rPr>
            </w:pPr>
            <w:r>
              <w:rPr>
                <w:rFonts w:hint="eastAsia"/>
                <w:b/>
                <w:bCs/>
                <w:sz w:val="24"/>
                <w:szCs w:val="22"/>
              </w:rPr>
              <w:t>名称</w:t>
            </w:r>
          </w:p>
        </w:tc>
        <w:tc>
          <w:tcPr>
            <w:tcW w:w="1950" w:type="dxa"/>
            <w:noWrap w:val="0"/>
            <w:vAlign w:val="center"/>
          </w:tcPr>
          <w:p w14:paraId="21779F6E">
            <w:pPr>
              <w:jc w:val="center"/>
              <w:rPr>
                <w:rFonts w:hint="eastAsia"/>
                <w:b/>
                <w:bCs/>
                <w:sz w:val="24"/>
                <w:szCs w:val="22"/>
              </w:rPr>
            </w:pPr>
            <w:r>
              <w:rPr>
                <w:rFonts w:hint="eastAsia"/>
                <w:b/>
                <w:bCs/>
                <w:sz w:val="24"/>
                <w:szCs w:val="22"/>
              </w:rPr>
              <w:t>数量</w:t>
            </w:r>
          </w:p>
        </w:tc>
        <w:tc>
          <w:tcPr>
            <w:tcW w:w="1770" w:type="dxa"/>
            <w:noWrap w:val="0"/>
            <w:vAlign w:val="center"/>
          </w:tcPr>
          <w:p w14:paraId="782029A6">
            <w:pPr>
              <w:jc w:val="center"/>
              <w:rPr>
                <w:rFonts w:hint="eastAsia"/>
                <w:b/>
                <w:bCs/>
                <w:sz w:val="24"/>
                <w:szCs w:val="22"/>
              </w:rPr>
            </w:pPr>
            <w:r>
              <w:rPr>
                <w:rFonts w:hint="eastAsia"/>
                <w:b/>
                <w:bCs/>
                <w:sz w:val="24"/>
                <w:szCs w:val="22"/>
              </w:rPr>
              <w:t>单位</w:t>
            </w:r>
          </w:p>
        </w:tc>
      </w:tr>
      <w:tr w14:paraId="1F09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66" w:type="dxa"/>
            <w:noWrap w:val="0"/>
            <w:vAlign w:val="center"/>
          </w:tcPr>
          <w:p w14:paraId="7159E362">
            <w:pPr>
              <w:jc w:val="center"/>
              <w:rPr>
                <w:rFonts w:hint="eastAsia"/>
              </w:rPr>
            </w:pPr>
            <w:r>
              <w:rPr>
                <w:rFonts w:hint="eastAsia"/>
              </w:rPr>
              <w:t>1</w:t>
            </w:r>
          </w:p>
        </w:tc>
        <w:tc>
          <w:tcPr>
            <w:tcW w:w="3225" w:type="dxa"/>
            <w:noWrap w:val="0"/>
            <w:vAlign w:val="center"/>
          </w:tcPr>
          <w:p w14:paraId="74F9BC39">
            <w:pPr>
              <w:jc w:val="center"/>
              <w:rPr>
                <w:rFonts w:hint="eastAsia"/>
              </w:rPr>
            </w:pPr>
            <w:r>
              <w:rPr>
                <w:rFonts w:hint="eastAsia"/>
              </w:rPr>
              <w:t>妇科射频治疗主机</w:t>
            </w:r>
          </w:p>
        </w:tc>
        <w:tc>
          <w:tcPr>
            <w:tcW w:w="1950" w:type="dxa"/>
            <w:noWrap w:val="0"/>
            <w:vAlign w:val="center"/>
          </w:tcPr>
          <w:p w14:paraId="029F7969">
            <w:pPr>
              <w:jc w:val="center"/>
              <w:rPr>
                <w:rFonts w:hint="eastAsia" w:eastAsia="宋体"/>
                <w:lang w:eastAsia="zh-CN"/>
              </w:rPr>
            </w:pPr>
            <w:r>
              <w:rPr>
                <w:rFonts w:hint="eastAsia"/>
                <w:lang w:val="en-US" w:eastAsia="zh-CN"/>
              </w:rPr>
              <w:t>1</w:t>
            </w:r>
          </w:p>
        </w:tc>
        <w:tc>
          <w:tcPr>
            <w:tcW w:w="1770" w:type="dxa"/>
            <w:noWrap w:val="0"/>
            <w:vAlign w:val="center"/>
          </w:tcPr>
          <w:p w14:paraId="02AC6067">
            <w:pPr>
              <w:jc w:val="center"/>
              <w:rPr>
                <w:rFonts w:hint="eastAsia"/>
              </w:rPr>
            </w:pPr>
            <w:r>
              <w:rPr>
                <w:rFonts w:hint="eastAsia"/>
              </w:rPr>
              <w:t>台</w:t>
            </w:r>
          </w:p>
        </w:tc>
      </w:tr>
      <w:tr w14:paraId="0189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6" w:type="dxa"/>
            <w:noWrap w:val="0"/>
            <w:vAlign w:val="center"/>
          </w:tcPr>
          <w:p w14:paraId="7A16B115">
            <w:pPr>
              <w:jc w:val="center"/>
              <w:rPr>
                <w:rFonts w:hint="eastAsia"/>
              </w:rPr>
            </w:pPr>
            <w:r>
              <w:rPr>
                <w:rFonts w:hint="eastAsia"/>
              </w:rPr>
              <w:t>2</w:t>
            </w:r>
          </w:p>
        </w:tc>
        <w:tc>
          <w:tcPr>
            <w:tcW w:w="3225" w:type="dxa"/>
            <w:noWrap w:val="0"/>
            <w:vAlign w:val="center"/>
          </w:tcPr>
          <w:p w14:paraId="6AD8F8ED">
            <w:pPr>
              <w:jc w:val="center"/>
              <w:rPr>
                <w:rFonts w:hint="eastAsia"/>
              </w:rPr>
            </w:pPr>
            <w:r>
              <w:t>主机电源线</w:t>
            </w:r>
          </w:p>
        </w:tc>
        <w:tc>
          <w:tcPr>
            <w:tcW w:w="1950" w:type="dxa"/>
            <w:noWrap w:val="0"/>
            <w:vAlign w:val="center"/>
          </w:tcPr>
          <w:p w14:paraId="3D4AFC19">
            <w:pPr>
              <w:jc w:val="center"/>
              <w:rPr>
                <w:rFonts w:hint="eastAsia" w:eastAsia="宋体"/>
                <w:lang w:eastAsia="zh-CN"/>
              </w:rPr>
            </w:pPr>
            <w:r>
              <w:rPr>
                <w:rFonts w:hint="eastAsia"/>
                <w:lang w:val="en-US" w:eastAsia="zh-CN"/>
              </w:rPr>
              <w:t>2</w:t>
            </w:r>
          </w:p>
        </w:tc>
        <w:tc>
          <w:tcPr>
            <w:tcW w:w="1770" w:type="dxa"/>
            <w:noWrap w:val="0"/>
            <w:vAlign w:val="center"/>
          </w:tcPr>
          <w:p w14:paraId="5880B926">
            <w:pPr>
              <w:jc w:val="center"/>
              <w:rPr>
                <w:rFonts w:hint="eastAsia"/>
              </w:rPr>
            </w:pPr>
            <w:r>
              <w:rPr>
                <w:rFonts w:hint="eastAsia"/>
              </w:rPr>
              <w:t>根</w:t>
            </w:r>
          </w:p>
        </w:tc>
      </w:tr>
      <w:tr w14:paraId="209A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6" w:type="dxa"/>
            <w:noWrap w:val="0"/>
            <w:vAlign w:val="center"/>
          </w:tcPr>
          <w:p w14:paraId="7A6202F4">
            <w:pPr>
              <w:jc w:val="center"/>
              <w:rPr>
                <w:rFonts w:hint="eastAsia"/>
              </w:rPr>
            </w:pPr>
            <w:r>
              <w:rPr>
                <w:rFonts w:hint="eastAsia"/>
              </w:rPr>
              <w:t>3</w:t>
            </w:r>
          </w:p>
        </w:tc>
        <w:tc>
          <w:tcPr>
            <w:tcW w:w="3225" w:type="dxa"/>
            <w:noWrap w:val="0"/>
            <w:vAlign w:val="center"/>
          </w:tcPr>
          <w:p w14:paraId="7256528C">
            <w:pPr>
              <w:jc w:val="center"/>
              <w:rPr>
                <w:rFonts w:hint="eastAsia"/>
              </w:rPr>
            </w:pPr>
            <w:r>
              <w:rPr>
                <w:rFonts w:hint="eastAsia"/>
              </w:rPr>
              <w:t>联接电缆</w:t>
            </w:r>
          </w:p>
        </w:tc>
        <w:tc>
          <w:tcPr>
            <w:tcW w:w="1950" w:type="dxa"/>
            <w:noWrap w:val="0"/>
            <w:vAlign w:val="center"/>
          </w:tcPr>
          <w:p w14:paraId="178F0FC8">
            <w:pPr>
              <w:jc w:val="center"/>
              <w:rPr>
                <w:rFonts w:hint="eastAsia" w:eastAsia="宋体"/>
                <w:lang w:eastAsia="zh-CN"/>
              </w:rPr>
            </w:pPr>
            <w:r>
              <w:rPr>
                <w:rFonts w:hint="eastAsia"/>
                <w:lang w:val="en-US" w:eastAsia="zh-CN"/>
              </w:rPr>
              <w:t>2</w:t>
            </w:r>
          </w:p>
        </w:tc>
        <w:tc>
          <w:tcPr>
            <w:tcW w:w="1770" w:type="dxa"/>
            <w:noWrap w:val="0"/>
            <w:vAlign w:val="center"/>
          </w:tcPr>
          <w:p w14:paraId="11AD6836">
            <w:pPr>
              <w:jc w:val="center"/>
              <w:rPr>
                <w:rFonts w:hint="eastAsia"/>
              </w:rPr>
            </w:pPr>
            <w:r>
              <w:rPr>
                <w:rFonts w:hint="eastAsia"/>
              </w:rPr>
              <w:t>根</w:t>
            </w:r>
          </w:p>
        </w:tc>
      </w:tr>
      <w:tr w14:paraId="0321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6" w:type="dxa"/>
            <w:noWrap w:val="0"/>
            <w:vAlign w:val="center"/>
          </w:tcPr>
          <w:p w14:paraId="7D7A5F82">
            <w:pPr>
              <w:jc w:val="center"/>
            </w:pPr>
            <w:r>
              <w:rPr>
                <w:rFonts w:hint="eastAsia"/>
              </w:rPr>
              <w:t>4</w:t>
            </w:r>
          </w:p>
        </w:tc>
        <w:tc>
          <w:tcPr>
            <w:tcW w:w="3225" w:type="dxa"/>
            <w:noWrap w:val="0"/>
            <w:vAlign w:val="center"/>
          </w:tcPr>
          <w:p w14:paraId="09AED385">
            <w:pPr>
              <w:jc w:val="center"/>
              <w:rPr>
                <w:rFonts w:hint="eastAsia"/>
              </w:rPr>
            </w:pPr>
            <w:r>
              <w:t>台车</w:t>
            </w:r>
          </w:p>
        </w:tc>
        <w:tc>
          <w:tcPr>
            <w:tcW w:w="1950" w:type="dxa"/>
            <w:noWrap w:val="0"/>
            <w:vAlign w:val="center"/>
          </w:tcPr>
          <w:p w14:paraId="7BAEA042">
            <w:pPr>
              <w:jc w:val="center"/>
              <w:rPr>
                <w:rFonts w:hint="eastAsia" w:eastAsia="宋体"/>
                <w:lang w:eastAsia="zh-CN"/>
              </w:rPr>
            </w:pPr>
            <w:r>
              <w:rPr>
                <w:rFonts w:hint="eastAsia"/>
                <w:lang w:val="en-US" w:eastAsia="zh-CN"/>
              </w:rPr>
              <w:t>1</w:t>
            </w:r>
          </w:p>
        </w:tc>
        <w:tc>
          <w:tcPr>
            <w:tcW w:w="1770" w:type="dxa"/>
            <w:noWrap w:val="0"/>
            <w:vAlign w:val="center"/>
          </w:tcPr>
          <w:p w14:paraId="698DDDAD">
            <w:pPr>
              <w:jc w:val="center"/>
              <w:rPr>
                <w:rFonts w:hint="eastAsia"/>
              </w:rPr>
            </w:pPr>
            <w:r>
              <w:rPr>
                <w:rFonts w:hint="eastAsia"/>
              </w:rPr>
              <w:t>台</w:t>
            </w:r>
          </w:p>
        </w:tc>
      </w:tr>
      <w:tr w14:paraId="7088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66" w:type="dxa"/>
            <w:noWrap w:val="0"/>
            <w:vAlign w:val="center"/>
          </w:tcPr>
          <w:p w14:paraId="3B379719">
            <w:pPr>
              <w:jc w:val="center"/>
              <w:rPr>
                <w:rFonts w:hint="eastAsia"/>
              </w:rPr>
            </w:pPr>
            <w:r>
              <w:rPr>
                <w:rFonts w:hint="eastAsia"/>
              </w:rPr>
              <w:t>5</w:t>
            </w:r>
          </w:p>
        </w:tc>
        <w:tc>
          <w:tcPr>
            <w:tcW w:w="3225" w:type="dxa"/>
            <w:noWrap w:val="0"/>
            <w:vAlign w:val="center"/>
          </w:tcPr>
          <w:p w14:paraId="34665ECC">
            <w:pPr>
              <w:jc w:val="center"/>
            </w:pPr>
            <w:r>
              <w:rPr>
                <w:rFonts w:hint="eastAsia"/>
              </w:rPr>
              <w:t>电缆线夹具</w:t>
            </w:r>
          </w:p>
        </w:tc>
        <w:tc>
          <w:tcPr>
            <w:tcW w:w="1950" w:type="dxa"/>
            <w:noWrap w:val="0"/>
            <w:vAlign w:val="center"/>
          </w:tcPr>
          <w:p w14:paraId="02B84A1C">
            <w:pPr>
              <w:jc w:val="center"/>
              <w:rPr>
                <w:rFonts w:hint="eastAsia" w:eastAsia="宋体"/>
                <w:lang w:eastAsia="zh-CN"/>
              </w:rPr>
            </w:pPr>
            <w:r>
              <w:rPr>
                <w:rFonts w:hint="eastAsia"/>
                <w:lang w:val="en-US" w:eastAsia="zh-CN"/>
              </w:rPr>
              <w:t>2</w:t>
            </w:r>
          </w:p>
        </w:tc>
        <w:tc>
          <w:tcPr>
            <w:tcW w:w="1770" w:type="dxa"/>
            <w:noWrap w:val="0"/>
            <w:vAlign w:val="center"/>
          </w:tcPr>
          <w:p w14:paraId="61AAA491">
            <w:pPr>
              <w:jc w:val="center"/>
              <w:rPr>
                <w:rFonts w:hint="eastAsia"/>
              </w:rPr>
            </w:pPr>
            <w:r>
              <w:rPr>
                <w:rFonts w:hint="eastAsia"/>
              </w:rPr>
              <w:t>根</w:t>
            </w:r>
          </w:p>
        </w:tc>
      </w:tr>
      <w:tr w14:paraId="237B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66" w:type="dxa"/>
            <w:noWrap w:val="0"/>
            <w:vAlign w:val="center"/>
          </w:tcPr>
          <w:p w14:paraId="46ADE491">
            <w:pPr>
              <w:jc w:val="center"/>
            </w:pPr>
            <w:r>
              <w:rPr>
                <w:rFonts w:hint="eastAsia"/>
              </w:rPr>
              <w:t>6</w:t>
            </w:r>
          </w:p>
        </w:tc>
        <w:tc>
          <w:tcPr>
            <w:tcW w:w="3225" w:type="dxa"/>
            <w:noWrap w:val="0"/>
            <w:vAlign w:val="center"/>
          </w:tcPr>
          <w:p w14:paraId="493AC18C">
            <w:pPr>
              <w:jc w:val="center"/>
            </w:pPr>
            <w:r>
              <w:rPr>
                <w:rFonts w:hint="eastAsia"/>
              </w:rPr>
              <w:t>一次性使用中性电极</w:t>
            </w:r>
          </w:p>
        </w:tc>
        <w:tc>
          <w:tcPr>
            <w:tcW w:w="1950" w:type="dxa"/>
            <w:noWrap w:val="0"/>
            <w:vAlign w:val="center"/>
          </w:tcPr>
          <w:p w14:paraId="6A9B2680">
            <w:pPr>
              <w:jc w:val="center"/>
              <w:rPr>
                <w:rFonts w:hint="default" w:eastAsia="宋体"/>
                <w:lang w:val="en-US" w:eastAsia="zh-CN"/>
              </w:rPr>
            </w:pPr>
            <w:r>
              <w:rPr>
                <w:rFonts w:hint="eastAsia"/>
                <w:lang w:val="en-US" w:eastAsia="zh-CN"/>
              </w:rPr>
              <w:t>20</w:t>
            </w:r>
          </w:p>
        </w:tc>
        <w:tc>
          <w:tcPr>
            <w:tcW w:w="1770" w:type="dxa"/>
            <w:noWrap w:val="0"/>
            <w:vAlign w:val="center"/>
          </w:tcPr>
          <w:p w14:paraId="137D85A9">
            <w:pPr>
              <w:jc w:val="center"/>
              <w:rPr>
                <w:rFonts w:hint="eastAsia"/>
              </w:rPr>
            </w:pPr>
            <w:r>
              <w:rPr>
                <w:rFonts w:hint="eastAsia"/>
              </w:rPr>
              <w:t>片</w:t>
            </w:r>
          </w:p>
        </w:tc>
      </w:tr>
      <w:tr w14:paraId="20D5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66" w:type="dxa"/>
            <w:noWrap w:val="0"/>
            <w:vAlign w:val="center"/>
          </w:tcPr>
          <w:p w14:paraId="5E5B793E">
            <w:pPr>
              <w:jc w:val="center"/>
            </w:pPr>
            <w:r>
              <w:rPr>
                <w:rFonts w:hint="eastAsia"/>
              </w:rPr>
              <w:t>7</w:t>
            </w:r>
          </w:p>
        </w:tc>
        <w:tc>
          <w:tcPr>
            <w:tcW w:w="3225" w:type="dxa"/>
            <w:noWrap w:val="0"/>
            <w:vAlign w:val="center"/>
          </w:tcPr>
          <w:p w14:paraId="0815CC8F">
            <w:pPr>
              <w:jc w:val="center"/>
            </w:pPr>
            <w:r>
              <w:rPr>
                <w:rFonts w:hint="eastAsia"/>
              </w:rPr>
              <w:t>射频消融电极</w:t>
            </w:r>
          </w:p>
        </w:tc>
        <w:tc>
          <w:tcPr>
            <w:tcW w:w="1950" w:type="dxa"/>
            <w:noWrap w:val="0"/>
            <w:vAlign w:val="center"/>
          </w:tcPr>
          <w:p w14:paraId="171CA40F">
            <w:pPr>
              <w:jc w:val="center"/>
              <w:rPr>
                <w:rFonts w:hint="default" w:eastAsia="宋体"/>
                <w:lang w:val="en-US" w:eastAsia="zh-CN"/>
              </w:rPr>
            </w:pPr>
            <w:r>
              <w:rPr>
                <w:rFonts w:hint="eastAsia"/>
                <w:lang w:val="en-US" w:eastAsia="zh-CN"/>
              </w:rPr>
              <w:t>10</w:t>
            </w:r>
          </w:p>
        </w:tc>
        <w:tc>
          <w:tcPr>
            <w:tcW w:w="1770" w:type="dxa"/>
            <w:noWrap w:val="0"/>
            <w:vAlign w:val="center"/>
          </w:tcPr>
          <w:p w14:paraId="6D251092">
            <w:pPr>
              <w:jc w:val="center"/>
              <w:rPr>
                <w:rFonts w:hint="eastAsia"/>
              </w:rPr>
            </w:pPr>
            <w:r>
              <w:rPr>
                <w:rFonts w:hint="eastAsia"/>
              </w:rPr>
              <w:t>把</w:t>
            </w:r>
          </w:p>
        </w:tc>
      </w:tr>
    </w:tbl>
    <w:p w14:paraId="3D4746C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98511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25A23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A169C2E">
      <w:pPr>
        <w:ind w:firstLine="482" w:firstLineChars="200"/>
        <w:rPr>
          <w:rFonts w:hint="eastAsia"/>
          <w:lang w:val="en-US" w:eastAsia="zh-CN"/>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0C4C0C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★1、运输、装卸、培训、安装调试：由中标人负责承担，最终通过使用科室、设备科及相关部门确认验收交付使用。</w:t>
      </w:r>
      <w:r>
        <w:rPr>
          <w:rFonts w:hint="eastAsia" w:ascii="宋体" w:hAnsi="宋体" w:eastAsia="宋体" w:cs="宋体"/>
          <w:color w:val="auto"/>
          <w:sz w:val="24"/>
          <w:szCs w:val="24"/>
        </w:rPr>
        <w:t>国产设备交付，设备必须为6个月内生产的产品；进口设备交付，设备必须为一年内生产的产品。</w:t>
      </w:r>
    </w:p>
    <w:p w14:paraId="61A03A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★2、交货时间：按</w:t>
      </w:r>
      <w:r>
        <w:rPr>
          <w:rFonts w:hint="eastAsia" w:ascii="宋体" w:hAnsi="宋体" w:cs="宋体"/>
          <w:color w:val="auto"/>
          <w:sz w:val="24"/>
          <w:szCs w:val="24"/>
          <w:highlight w:val="none"/>
          <w:lang w:val="en-US" w:eastAsia="zh-CN"/>
        </w:rPr>
        <w:t>合同约定的日期交货。</w:t>
      </w:r>
    </w:p>
    <w:p w14:paraId="0ACA39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、交货地点：娄底市中心医院</w:t>
      </w:r>
      <w:r>
        <w:rPr>
          <w:rFonts w:hint="eastAsia" w:ascii="宋体" w:hAnsi="宋体" w:cs="宋体"/>
          <w:color w:val="auto"/>
          <w:sz w:val="24"/>
          <w:szCs w:val="24"/>
          <w:highlight w:val="none"/>
          <w:lang w:val="en-US" w:eastAsia="zh-CN"/>
        </w:rPr>
        <w:t>指定地点</w:t>
      </w:r>
      <w:r>
        <w:rPr>
          <w:rFonts w:hint="eastAsia" w:ascii="宋体" w:hAnsi="宋体" w:eastAsia="宋体" w:cs="宋体"/>
          <w:color w:val="auto"/>
          <w:sz w:val="24"/>
          <w:szCs w:val="24"/>
          <w:highlight w:val="none"/>
        </w:rPr>
        <w:t>。</w:t>
      </w:r>
    </w:p>
    <w:p w14:paraId="0669E1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cs="宋体"/>
          <w:color w:val="auto"/>
          <w:sz w:val="24"/>
          <w:szCs w:val="24"/>
          <w:highlight w:val="none"/>
          <w:lang w:val="en-US" w:eastAsia="zh-CN"/>
        </w:rPr>
        <w:t>且质保届满</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免息</w:t>
      </w:r>
      <w:r>
        <w:rPr>
          <w:rFonts w:hint="eastAsia" w:ascii="宋体" w:hAnsi="宋体" w:eastAsia="宋体" w:cs="宋体"/>
          <w:color w:val="auto"/>
          <w:sz w:val="24"/>
          <w:szCs w:val="24"/>
          <w:highlight w:val="none"/>
        </w:rPr>
        <w:t>支付10%余款给乙方。</w:t>
      </w:r>
      <w:r>
        <w:rPr>
          <w:rFonts w:hint="eastAsia" w:ascii="宋体" w:hAnsi="宋体" w:eastAsia="宋体" w:cs="宋体"/>
          <w:color w:val="auto"/>
          <w:sz w:val="24"/>
          <w:szCs w:val="24"/>
          <w:highlight w:val="none"/>
        </w:rPr>
        <w:cr/>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★5、质保与售后：整机保修</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年，终身维修。</w:t>
      </w:r>
      <w:r>
        <w:rPr>
          <w:rFonts w:hint="eastAsia" w:ascii="宋体" w:hAnsi="宋体" w:cs="宋体"/>
          <w:color w:val="auto"/>
          <w:sz w:val="24"/>
          <w:szCs w:val="24"/>
          <w:highlight w:val="none"/>
          <w:lang w:val="en-US" w:eastAsia="zh-CN"/>
        </w:rPr>
        <w:t>验收时</w:t>
      </w:r>
      <w:r>
        <w:rPr>
          <w:rFonts w:hint="eastAsia" w:ascii="宋体" w:hAnsi="宋体" w:eastAsia="宋体" w:cs="宋体"/>
          <w:color w:val="auto"/>
          <w:sz w:val="24"/>
          <w:szCs w:val="24"/>
          <w:highlight w:val="none"/>
        </w:rPr>
        <w:t>出具原厂售后质保承诺书，质保期内每年巡检</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并提交巡检记录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eastAsia="zh-CN"/>
        </w:rPr>
        <w:t>质保期内</w:t>
      </w:r>
      <w:r>
        <w:rPr>
          <w:rFonts w:hint="eastAsia" w:ascii="宋体" w:hAnsi="宋体" w:cs="宋体"/>
          <w:color w:val="auto"/>
          <w:sz w:val="24"/>
          <w:szCs w:val="24"/>
          <w:highlight w:val="none"/>
          <w:lang w:val="en-US" w:eastAsia="zh-CN"/>
        </w:rPr>
        <w:t>出现故障</w:t>
      </w:r>
      <w:r>
        <w:rPr>
          <w:rFonts w:hint="eastAsia" w:ascii="宋体" w:hAnsi="宋体" w:eastAsia="宋体" w:cs="宋体"/>
          <w:color w:val="auto"/>
          <w:sz w:val="24"/>
          <w:szCs w:val="24"/>
          <w:highlight w:val="none"/>
          <w:lang w:val="en-US" w:eastAsia="zh-CN"/>
        </w:rPr>
        <w:t>，24小时响应，响应后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小时上门服务</w:t>
      </w:r>
      <w:r>
        <w:rPr>
          <w:rFonts w:hint="eastAsia" w:ascii="宋体" w:hAnsi="宋体" w:cs="宋体"/>
          <w:color w:val="auto"/>
          <w:sz w:val="24"/>
          <w:szCs w:val="24"/>
          <w:highlight w:val="none"/>
          <w:lang w:val="en-US" w:eastAsia="zh-CN"/>
        </w:rPr>
        <w:t>。</w:t>
      </w:r>
    </w:p>
    <w:p w14:paraId="006BB9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★6、在投标文件中必须提供相关佐证资料（加盖投标人公章的技术参数、技术白皮书、说明书、彩页），并在响应表中备注该条参数响应或正偏离的佐证资料所在页码。</w:t>
      </w:r>
    </w:p>
    <w:p w14:paraId="6CCE8E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3A5BA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724A216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3B0FD78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7089B0E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4BEBEB5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32E1FA4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2B9C621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23FE4A8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52A1E9FB">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465C7F2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14:paraId="6D077D5B">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74FF5D5A">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righ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合同编号：</w:t>
      </w:r>
    </w:p>
    <w:p w14:paraId="4A0673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医疗设备及专机专用耗材采购合同</w:t>
      </w:r>
    </w:p>
    <w:p w14:paraId="60A69B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14:paraId="0149CE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14:paraId="1AFD8E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杨吉军</w:t>
      </w:r>
    </w:p>
    <w:p w14:paraId="460194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14:paraId="444E32E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14:paraId="672401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14:paraId="57DE375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14:paraId="31E138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14:paraId="4E5541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法定代表人：</w:t>
      </w:r>
    </w:p>
    <w:p w14:paraId="6E00DA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14:paraId="114A70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14:paraId="1BA65485">
      <w:pPr>
        <w:keepNext w:val="0"/>
        <w:keepLines w:val="0"/>
        <w:pageBreakBefore w:val="0"/>
        <w:widowControl/>
        <w:kinsoku/>
        <w:wordWrap/>
        <w:overflowPunct/>
        <w:topLinePunct w:val="0"/>
        <w:autoSpaceDE/>
        <w:autoSpaceDN/>
        <w:bidi w:val="0"/>
        <w:adjustRightInd/>
        <w:snapToGrid/>
        <w:spacing w:line="40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14:paraId="521C26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14:paraId="71ADD0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283F947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u w:val="none"/>
          <w:lang w:val="en-US" w:eastAsia="zh-CN"/>
          <w14:textFill>
            <w14:solidFill>
              <w14:schemeClr w14:val="tx1"/>
            </w14:solidFill>
          </w14:textFill>
        </w:rPr>
        <w:t>方式</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妇科疾病射频治疗仪及专机专用耗材</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妇科疾病射频治疗仪及专机专用耗材</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14:paraId="057A4A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14:paraId="61D9F5E9">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采购设备</w:t>
      </w:r>
    </w:p>
    <w:p w14:paraId="3536E5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1.1.1 设备名称、品牌、型号、价格</w:t>
      </w:r>
    </w:p>
    <w:tbl>
      <w:tblPr>
        <w:tblStyle w:val="10"/>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14:paraId="089A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996" w:type="dxa"/>
            <w:vAlign w:val="center"/>
          </w:tcPr>
          <w:p w14:paraId="4CED3C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320" w:type="dxa"/>
            <w:vAlign w:val="center"/>
          </w:tcPr>
          <w:p w14:paraId="163564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367" w:type="dxa"/>
            <w:vAlign w:val="center"/>
          </w:tcPr>
          <w:p w14:paraId="275E5C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center"/>
          </w:tcPr>
          <w:p w14:paraId="5AEA1C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1377" w:type="dxa"/>
            <w:vAlign w:val="center"/>
          </w:tcPr>
          <w:p w14:paraId="54F5BB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388" w:type="dxa"/>
            <w:vAlign w:val="center"/>
          </w:tcPr>
          <w:p w14:paraId="6F8342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14:paraId="1D4C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14:paraId="54895C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妇科疾病射频治疗仪</w:t>
            </w:r>
          </w:p>
        </w:tc>
        <w:tc>
          <w:tcPr>
            <w:tcW w:w="1320" w:type="dxa"/>
            <w:vAlign w:val="center"/>
          </w:tcPr>
          <w:p w14:paraId="220E07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14:paraId="510B02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14:paraId="50C8ED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14:paraId="0B0C7D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1台/套</w:t>
            </w:r>
          </w:p>
        </w:tc>
        <w:tc>
          <w:tcPr>
            <w:tcW w:w="1388" w:type="dxa"/>
            <w:vAlign w:val="center"/>
          </w:tcPr>
          <w:p w14:paraId="364762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14:paraId="6886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vAlign w:val="top"/>
          </w:tcPr>
          <w:p w14:paraId="0CBBE1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14:paraId="1604A9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p w14:paraId="50B664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5003A3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2AE55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 本合同设备约定价格为固定价格，不因物价、市场波动变更，该约定价格包括且不限于</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设计费、材料费、人工费、安装费、包装费、运输费、装卸费、调试费、接口费、检测费、检验费、税费、保险费、售后服务费、附随服务费等在内所有费用</w:t>
      </w:r>
      <w:r>
        <w:rPr>
          <w:rFonts w:hint="eastAsia" w:ascii="宋体" w:hAnsi="宋体" w:eastAsia="宋体" w:cs="宋体"/>
          <w:color w:val="000000" w:themeColor="text1"/>
          <w:sz w:val="24"/>
          <w:szCs w:val="24"/>
          <w:lang w:val="en-US" w:eastAsia="zh-CN"/>
          <w14:textFill>
            <w14:solidFill>
              <w14:schemeClr w14:val="tx1"/>
            </w14:solidFill>
          </w14:textFill>
        </w:rPr>
        <w:t>。</w:t>
      </w:r>
    </w:p>
    <w:p w14:paraId="57A521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6D660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1.2 设备专机专用耗材供应</w:t>
      </w:r>
    </w:p>
    <w:p w14:paraId="1A33E3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1.2.1 耗材名称、规格型号、编号、单价</w:t>
      </w:r>
    </w:p>
    <w:tbl>
      <w:tblPr>
        <w:tblStyle w:val="10"/>
        <w:tblW w:w="9105"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3"/>
        <w:gridCol w:w="3120"/>
        <w:gridCol w:w="1522"/>
        <w:gridCol w:w="1560"/>
      </w:tblGrid>
      <w:tr w14:paraId="1A9C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0" w:hRule="atLeast"/>
        </w:trPr>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72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专机专用耗材名称</w:t>
            </w:r>
          </w:p>
        </w:tc>
        <w:tc>
          <w:tcPr>
            <w:tcW w:w="3120" w:type="dxa"/>
            <w:tcBorders>
              <w:top w:val="single" w:color="auto" w:sz="4" w:space="0"/>
              <w:left w:val="single" w:color="000000" w:sz="4" w:space="0"/>
              <w:bottom w:val="single" w:color="000000" w:sz="4" w:space="0"/>
              <w:right w:val="single" w:color="auto" w:sz="4" w:space="0"/>
            </w:tcBorders>
            <w:shd w:val="clear" w:color="auto" w:fill="auto"/>
            <w:vAlign w:val="center"/>
          </w:tcPr>
          <w:p w14:paraId="42A7F8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规格型号</w:t>
            </w:r>
          </w:p>
        </w:tc>
        <w:tc>
          <w:tcPr>
            <w:tcW w:w="1522" w:type="dxa"/>
            <w:tcBorders>
              <w:top w:val="single" w:color="auto" w:sz="4" w:space="0"/>
              <w:left w:val="single" w:color="auto" w:sz="4" w:space="0"/>
              <w:bottom w:val="single" w:color="000000" w:sz="4" w:space="0"/>
              <w:right w:val="single" w:color="000000" w:sz="4" w:space="0"/>
            </w:tcBorders>
            <w:shd w:val="clear" w:color="auto" w:fill="auto"/>
            <w:vAlign w:val="center"/>
          </w:tcPr>
          <w:p w14:paraId="2027F6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组件编号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C3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单价（</w:t>
            </w: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套</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/元）</w:t>
            </w:r>
          </w:p>
        </w:tc>
      </w:tr>
      <w:tr w14:paraId="6563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77D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default" w:ascii="红豆小标宋简体" w:hAnsi="红豆小标宋简体" w:eastAsia="红豆小标宋简体" w:cs="红豆小标宋简体"/>
                <w:b/>
                <w:bCs/>
                <w:i w:val="0"/>
                <w:iCs w:val="0"/>
                <w:color w:val="000000" w:themeColor="text1"/>
                <w:kern w:val="0"/>
                <w:sz w:val="16"/>
                <w:szCs w:val="16"/>
                <w:u w:val="none"/>
                <w:lang w:val="en-US" w:eastAsia="zh-CN" w:bidi="ar"/>
                <w14:textFill>
                  <w14:solidFill>
                    <w14:schemeClr w14:val="tx1"/>
                  </w14:solidFill>
                </w14:textFill>
              </w:rPr>
              <w:t>一次性使用中性电极</w:t>
            </w:r>
          </w:p>
        </w:tc>
        <w:tc>
          <w:tcPr>
            <w:tcW w:w="3120" w:type="dxa"/>
            <w:tcBorders>
              <w:top w:val="single" w:color="000000" w:sz="4" w:space="0"/>
              <w:left w:val="single" w:color="000000" w:sz="4" w:space="0"/>
              <w:bottom w:val="single" w:color="000000" w:sz="4" w:space="0"/>
              <w:right w:val="single" w:color="auto" w:sz="4" w:space="0"/>
            </w:tcBorders>
            <w:shd w:val="clear" w:color="auto" w:fill="auto"/>
            <w:vAlign w:val="bottom"/>
          </w:tcPr>
          <w:p w14:paraId="3CE6E3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522" w:type="dxa"/>
            <w:tcBorders>
              <w:top w:val="single" w:color="000000" w:sz="4" w:space="0"/>
              <w:left w:val="single" w:color="auto" w:sz="4" w:space="0"/>
              <w:bottom w:val="single" w:color="000000" w:sz="4" w:space="0"/>
              <w:right w:val="single" w:color="000000" w:sz="4" w:space="0"/>
            </w:tcBorders>
            <w:shd w:val="clear" w:color="auto" w:fill="auto"/>
            <w:vAlign w:val="bottom"/>
          </w:tcPr>
          <w:p w14:paraId="1703A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51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r>
      <w:tr w14:paraId="32B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774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default" w:ascii="红豆小标宋简体" w:hAnsi="红豆小标宋简体" w:eastAsia="红豆小标宋简体" w:cs="红豆小标宋简体"/>
                <w:b/>
                <w:bCs/>
                <w:i w:val="0"/>
                <w:iCs w:val="0"/>
                <w:color w:val="000000" w:themeColor="text1"/>
                <w:kern w:val="0"/>
                <w:sz w:val="16"/>
                <w:szCs w:val="16"/>
                <w:u w:val="none"/>
                <w:lang w:val="en-US" w:eastAsia="zh-CN" w:bidi="ar"/>
                <w14:textFill>
                  <w14:solidFill>
                    <w14:schemeClr w14:val="tx1"/>
                  </w14:solidFill>
                </w14:textFill>
              </w:rPr>
              <w:t>射频消融电极</w:t>
            </w:r>
          </w:p>
        </w:tc>
        <w:tc>
          <w:tcPr>
            <w:tcW w:w="3120" w:type="dxa"/>
            <w:tcBorders>
              <w:top w:val="single" w:color="000000" w:sz="4" w:space="0"/>
              <w:left w:val="single" w:color="000000" w:sz="4" w:space="0"/>
              <w:bottom w:val="single" w:color="000000" w:sz="4" w:space="0"/>
              <w:right w:val="single" w:color="auto" w:sz="4" w:space="0"/>
            </w:tcBorders>
            <w:shd w:val="clear" w:color="auto" w:fill="auto"/>
            <w:vAlign w:val="bottom"/>
          </w:tcPr>
          <w:p w14:paraId="4F2CA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522" w:type="dxa"/>
            <w:tcBorders>
              <w:top w:val="single" w:color="000000" w:sz="4" w:space="0"/>
              <w:left w:val="single" w:color="auto" w:sz="4" w:space="0"/>
              <w:bottom w:val="single" w:color="000000" w:sz="4" w:space="0"/>
              <w:right w:val="single" w:color="000000" w:sz="4" w:space="0"/>
            </w:tcBorders>
            <w:shd w:val="clear" w:color="auto" w:fill="auto"/>
            <w:vAlign w:val="bottom"/>
          </w:tcPr>
          <w:p w14:paraId="7539F1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C7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r>
      <w:tr w14:paraId="2831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890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default" w:ascii="红豆小标宋简体" w:hAnsi="红豆小标宋简体" w:eastAsia="红豆小标宋简体" w:cs="红豆小标宋简体"/>
                <w:b/>
                <w:bCs/>
                <w:i w:val="0"/>
                <w:iCs w:val="0"/>
                <w:color w:val="000000" w:themeColor="text1"/>
                <w:kern w:val="0"/>
                <w:sz w:val="16"/>
                <w:szCs w:val="16"/>
                <w:u w:val="none"/>
                <w:lang w:val="en-US" w:eastAsia="zh-CN" w:bidi="ar"/>
                <w14:textFill>
                  <w14:solidFill>
                    <w14:schemeClr w14:val="tx1"/>
                  </w14:solidFill>
                </w14:textFill>
              </w:rPr>
              <w:t>导光凝胶</w:t>
            </w:r>
          </w:p>
        </w:tc>
        <w:tc>
          <w:tcPr>
            <w:tcW w:w="3120" w:type="dxa"/>
            <w:tcBorders>
              <w:top w:val="single" w:color="000000" w:sz="4" w:space="0"/>
              <w:left w:val="single" w:color="000000" w:sz="4" w:space="0"/>
              <w:bottom w:val="single" w:color="000000" w:sz="4" w:space="0"/>
              <w:right w:val="single" w:color="auto" w:sz="4" w:space="0"/>
            </w:tcBorders>
            <w:shd w:val="clear" w:color="auto" w:fill="auto"/>
            <w:vAlign w:val="bottom"/>
          </w:tcPr>
          <w:p w14:paraId="43CC63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522" w:type="dxa"/>
            <w:tcBorders>
              <w:top w:val="single" w:color="000000" w:sz="4" w:space="0"/>
              <w:left w:val="single" w:color="auto" w:sz="4" w:space="0"/>
              <w:bottom w:val="single" w:color="000000" w:sz="4" w:space="0"/>
              <w:right w:val="single" w:color="000000" w:sz="4" w:space="0"/>
            </w:tcBorders>
            <w:shd w:val="clear" w:color="auto" w:fill="auto"/>
            <w:vAlign w:val="bottom"/>
          </w:tcPr>
          <w:p w14:paraId="1AAD30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B4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r>
    </w:tbl>
    <w:p w14:paraId="513B86CE">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本合同专机专用耗材供货期限为</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kern w:val="0"/>
          <w:sz w:val="24"/>
          <w:szCs w:val="24"/>
          <w:lang w:eastAsia="zh-CN"/>
          <w14:textFill>
            <w14:solidFill>
              <w14:schemeClr w14:val="tx1"/>
            </w14:solidFill>
          </w14:textFill>
        </w:rPr>
        <w:t>妇科疾病射频治疗仪</w:t>
      </w: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sz w:val="24"/>
          <w:szCs w:val="24"/>
          <w:lang w:val="en-US" w:eastAsia="zh-CN"/>
          <w14:textFill>
            <w14:solidFill>
              <w14:schemeClr w14:val="tx1"/>
            </w14:solidFill>
          </w14:textFill>
        </w:rPr>
        <w:t>专机</w:t>
      </w:r>
      <w:r>
        <w:rPr>
          <w:rFonts w:hint="eastAsia" w:ascii="宋体" w:hAnsi="宋体" w:eastAsia="宋体" w:cs="宋体"/>
          <w:color w:val="000000" w:themeColor="text1"/>
          <w:kern w:val="0"/>
          <w:sz w:val="24"/>
          <w:szCs w:val="24"/>
          <w:lang w:val="en-US" w:eastAsia="zh-CN"/>
          <w14:textFill>
            <w14:solidFill>
              <w14:schemeClr w14:val="tx1"/>
            </w14:solidFill>
          </w14:textFill>
        </w:rPr>
        <w:t>专用耗材供应自动终止。</w:t>
      </w:r>
    </w:p>
    <w:p w14:paraId="0E9E3035">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 本合同耗材约定价格包括但不限于材料费、运输费、包装费、装卸费、搬运费、附随服务费、税费、保险费等。</w:t>
      </w:r>
    </w:p>
    <w:p w14:paraId="3009CEE1">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公开遴选该耗材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。本合同约定的医用耗材集采后，甲方库存中剩余耗材均按新的集采价格进行结算。</w:t>
      </w:r>
    </w:p>
    <w:p w14:paraId="56847CA5">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14:paraId="571C3F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006F02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14:paraId="48D50C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  设备</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14:paraId="0729E4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2.1.1</w:t>
      </w:r>
      <w:r>
        <w:rPr>
          <w:rFonts w:hint="default" w:ascii="宋体" w:hAnsi="宋体" w:eastAsia="宋体" w:cs="宋体"/>
          <w:color w:val="000000" w:themeColor="text1"/>
          <w:sz w:val="24"/>
          <w:szCs w:val="24"/>
          <w:lang w:val="en-US" w:eastAsia="zh-CN"/>
          <w14:textFill>
            <w14:solidFill>
              <w14:schemeClr w14:val="tx1"/>
            </w14:solidFill>
          </w14:textFill>
        </w:rPr>
        <w:t>乙方应在</w:t>
      </w:r>
      <w:r>
        <w:rPr>
          <w:rFonts w:hint="eastAsia" w:ascii="宋体" w:hAnsi="宋体" w:eastAsia="宋体" w:cs="宋体"/>
          <w:color w:val="000000" w:themeColor="text1"/>
          <w:sz w:val="24"/>
          <w:szCs w:val="24"/>
          <w:u w:val="none"/>
          <w:lang w:val="en-US" w:eastAsia="zh-CN"/>
          <w14:textFill>
            <w14:solidFill>
              <w14:schemeClr w14:val="tx1"/>
            </w14:solidFill>
          </w14:textFill>
        </w:rPr>
        <w:t>接到甲方通知30日内</w:t>
      </w:r>
      <w:r>
        <w:rPr>
          <w:rFonts w:hint="default" w:ascii="宋体" w:hAnsi="宋体" w:eastAsia="宋体" w:cs="宋体"/>
          <w:color w:val="000000" w:themeColor="text1"/>
          <w:sz w:val="24"/>
          <w:szCs w:val="24"/>
          <w:lang w:val="en-US" w:eastAsia="zh-CN"/>
          <w14:textFill>
            <w14:solidFill>
              <w14:schemeClr w14:val="tx1"/>
            </w14:solidFill>
          </w14:textFill>
        </w:rPr>
        <w:t>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w:t>
      </w:r>
      <w:r>
        <w:rPr>
          <w:rFonts w:hint="eastAsia" w:ascii="宋体" w:hAnsi="宋体" w:eastAsia="宋体" w:cs="宋体"/>
          <w:color w:val="000000" w:themeColor="text1"/>
          <w:sz w:val="24"/>
          <w:szCs w:val="24"/>
          <w:lang w:val="en-US" w:eastAsia="zh-CN"/>
          <w14:textFill>
            <w14:solidFill>
              <w14:schemeClr w14:val="tx1"/>
            </w14:solidFill>
          </w14:textFill>
        </w:rPr>
        <w:t>并在到货后3日内</w:t>
      </w:r>
      <w:r>
        <w:rPr>
          <w:rFonts w:hint="default" w:ascii="宋体" w:hAnsi="宋体" w:eastAsia="宋体" w:cs="宋体"/>
          <w:color w:val="000000" w:themeColor="text1"/>
          <w:sz w:val="24"/>
          <w:szCs w:val="24"/>
          <w:lang w:val="en-US" w:eastAsia="zh-CN"/>
          <w14:textFill>
            <w14:solidFill>
              <w14:schemeClr w14:val="tx1"/>
            </w14:solidFill>
          </w14:textFill>
        </w:rPr>
        <w:t>完成安装、调试，办理验收手续并交付甲方使用。</w:t>
      </w:r>
    </w:p>
    <w:p w14:paraId="47DAD5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14:paraId="1DA6B8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2.1.3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14:paraId="294980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 设备专机专用耗材交货时间地点、运输及装卸</w:t>
      </w:r>
    </w:p>
    <w:p w14:paraId="2DDA39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2.2.1 交货时间：乙方自甲方发送专机专用耗材书面订单之日起5日内，按书面订单要求将耗材送至甲方指定地点，非工作日、节假日正常执行。</w:t>
      </w:r>
    </w:p>
    <w:p w14:paraId="7097B3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2.2.2 交货地点：娄底市中心医院设备科仓库，指定收货人：娄底市中心医院设备科仓库管理员。</w:t>
      </w:r>
    </w:p>
    <w:p w14:paraId="5306B1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2.2.3 由乙方自备交通运输工具将耗材运至合同约定地点，并负责设备装卸的人工及费用。</w:t>
      </w:r>
    </w:p>
    <w:p w14:paraId="00CC27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14:paraId="389D1B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3.1  设备质量标准、质量验收、包装要求</w:t>
      </w:r>
    </w:p>
    <w:p w14:paraId="239F5A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3.1.1 乙方提供设备的质量、安装应符合或优于国家标准；如响应文件中的技术参数和质量标准高于国家标准，则设备的技术参数和质量标准以响应文件为准。</w:t>
      </w:r>
    </w:p>
    <w:p w14:paraId="7F4B4D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3.1.2 设备质量验收：以本合同约定标准按以下方式进行验收： </w:t>
      </w:r>
    </w:p>
    <w:p w14:paraId="0F2751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472FC0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3F86A9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4B9D9A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3.1.3 包装要求：乙方提供的设备必须为原厂包装，外包装到货时应保证完好无损，否则甲方有权拒绝收货，由此造成的延期交货违约责任和一切经济损失全部由乙方承担。</w:t>
      </w:r>
    </w:p>
    <w:p w14:paraId="0EAF1A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3.2 专机专用耗材质量标准、质量验收、包装要求</w:t>
      </w:r>
    </w:p>
    <w:p w14:paraId="37D479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0FEB2A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w:t>
      </w:r>
      <w:r>
        <w:rPr>
          <w:rFonts w:hint="eastAsia" w:ascii="宋体" w:hAnsi="宋体" w:eastAsia="宋体" w:cs="宋体"/>
          <w:color w:val="000000" w:themeColor="text1"/>
          <w:kern w:val="0"/>
          <w:sz w:val="24"/>
          <w:szCs w:val="24"/>
          <w:lang w:val="en-US" w:eastAsia="zh-CN"/>
          <w14:textFill>
            <w14:solidFill>
              <w14:schemeClr w14:val="tx1"/>
            </w14:solidFill>
          </w14:textFill>
        </w:rPr>
        <w:t>甲方有权拒收。乙方应在甲方拒收之日起3日内，向甲方更换合格的医用耗材。</w:t>
      </w:r>
    </w:p>
    <w:p w14:paraId="3D651F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日内，向甲方更换符合效期要求的医用耗材。</w:t>
      </w:r>
    </w:p>
    <w:p w14:paraId="1ECDBC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2B440E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安装、培训等事项</w:t>
      </w:r>
    </w:p>
    <w:p w14:paraId="53C150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14:paraId="35294C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14:paraId="2F1911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14:paraId="15174C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14:paraId="6160E6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14:paraId="402C5E02">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 设备售后服务</w:t>
      </w:r>
    </w:p>
    <w:p w14:paraId="3A420BBB">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14:paraId="7D59F3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5.1.2  </w:t>
      </w:r>
      <w:r>
        <w:rPr>
          <w:rFonts w:hint="eastAsia" w:ascii="宋体" w:hAnsi="宋体" w:eastAsia="宋体" w:cs="宋体"/>
          <w:color w:val="000000" w:themeColor="text1"/>
          <w:sz w:val="24"/>
          <w14:textFill>
            <w14:solidFill>
              <w14:schemeClr w14:val="tx1"/>
            </w14:solidFill>
          </w14:textFill>
        </w:rPr>
        <w:t>乙方在质保期内免费提供</w:t>
      </w:r>
      <w:r>
        <w:rPr>
          <w:rFonts w:hint="eastAsia" w:ascii="宋体" w:hAnsi="宋体" w:eastAsia="宋体" w:cs="宋体"/>
          <w:color w:val="000000" w:themeColor="text1"/>
          <w:sz w:val="24"/>
          <w:szCs w:val="24"/>
          <w:lang w:val="en-US" w:eastAsia="zh-CN"/>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u w:val="single"/>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u w:val="single"/>
          <w:lang w:val="en-US" w:eastAsia="zh-CN"/>
          <w14:textFill>
            <w14:solidFill>
              <w14:schemeClr w14:val="tx1"/>
            </w14:solidFill>
          </w14:textFill>
        </w:rPr>
        <w:t>24</w:t>
      </w:r>
      <w:r>
        <w:rPr>
          <w:rFonts w:hint="eastAsia" w:ascii="宋体" w:hAnsi="宋体" w:eastAsia="宋体" w:cs="宋体"/>
          <w:color w:val="000000" w:themeColor="text1"/>
          <w:sz w:val="24"/>
          <w:szCs w:val="24"/>
          <w:lang w:val="en-US" w:eastAsia="zh-CN"/>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50F441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  质保期内，乙方每年至少对设备进行一次巡检并向甲方提交巡检记录。</w:t>
      </w:r>
    </w:p>
    <w:p w14:paraId="6A7EFD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  质保期届满后，如设备出现问题，乙方应在接到甲方通知（包括电话通知）24小时响应，响应后4小时上门服务，相关费用由甲方承担。</w:t>
      </w:r>
    </w:p>
    <w:p w14:paraId="221AE4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5.2 耗材售后服务</w:t>
      </w:r>
    </w:p>
    <w:p w14:paraId="24D46C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623F19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4C43EC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w:t>
      </w:r>
      <w:r>
        <w:rPr>
          <w:rFonts w:hint="eastAsia" w:ascii="宋体" w:hAnsi="宋体" w:eastAsia="宋体" w:cs="宋体"/>
          <w:color w:val="000000" w:themeColor="text1"/>
          <w:sz w:val="24"/>
          <w:szCs w:val="24"/>
          <w:lang w:val="en-US" w:eastAsia="zh-CN"/>
          <w14:textFill>
            <w14:solidFill>
              <w14:schemeClr w14:val="tx1"/>
            </w14:solidFill>
          </w14:textFill>
        </w:rPr>
        <w:t>本合同设备、耗材</w:t>
      </w:r>
      <w:r>
        <w:rPr>
          <w:rFonts w:hint="eastAsia" w:ascii="宋体" w:hAnsi="宋体" w:eastAsia="宋体" w:cs="宋体"/>
          <w:color w:val="000000" w:themeColor="text1"/>
          <w:sz w:val="24"/>
          <w:szCs w:val="24"/>
          <w14:textFill>
            <w14:solidFill>
              <w14:schemeClr w14:val="tx1"/>
            </w14:solidFill>
          </w14:textFill>
        </w:rPr>
        <w:t>售后服务事宜，如人员</w:t>
      </w:r>
      <w:r>
        <w:rPr>
          <w:rFonts w:hint="eastAsia" w:ascii="宋体" w:hAnsi="宋体" w:eastAsia="宋体" w:cs="宋体"/>
          <w:color w:val="000000" w:themeColor="text1"/>
          <w:sz w:val="24"/>
          <w:szCs w:val="24"/>
          <w:lang w:val="en-US" w:eastAsia="zh-CN"/>
          <w14:textFill>
            <w14:solidFill>
              <w14:schemeClr w14:val="tx1"/>
            </w14:solidFill>
          </w14:textFill>
        </w:rPr>
        <w:t>及联系电话</w:t>
      </w:r>
      <w:r>
        <w:rPr>
          <w:rFonts w:hint="eastAsia" w:ascii="宋体" w:hAnsi="宋体" w:eastAsia="宋体" w:cs="宋体"/>
          <w:color w:val="000000" w:themeColor="text1"/>
          <w:sz w:val="24"/>
          <w:szCs w:val="24"/>
          <w14:textFill>
            <w14:solidFill>
              <w14:schemeClr w14:val="tx1"/>
            </w14:solidFill>
          </w14:textFill>
        </w:rPr>
        <w:t>发生变动，应及时通知甲方。</w:t>
      </w:r>
    </w:p>
    <w:p w14:paraId="33A52B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14:paraId="5EB7A1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6.1  设备款结算</w:t>
      </w:r>
    </w:p>
    <w:p w14:paraId="152E5E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6.1.1 </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甲方在设备总体验收报告单上签字确认合格之日起4个月内，向乙方支付设备结算价款的90%；余款10%，甲方在质保期届满且不存在需被扣除情形之日起10个工作日内，免息支付给乙方。</w:t>
      </w:r>
    </w:p>
    <w:p w14:paraId="734E42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6.1.2 乙方应在甲方首次支付设备货款前，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向甲方提供以乙方</w:t>
      </w:r>
      <w:r>
        <w:rPr>
          <w:rFonts w:hint="eastAsia" w:ascii="宋体" w:hAnsi="宋体" w:eastAsia="宋体" w:cs="宋体"/>
          <w:color w:val="000000" w:themeColor="text1"/>
          <w:sz w:val="24"/>
          <w:szCs w:val="24"/>
          <w:lang w:val="en-US" w:eastAsia="zh-CN"/>
          <w14:textFill>
            <w14:solidFill>
              <w14:schemeClr w14:val="tx1"/>
            </w14:solidFill>
          </w14:textFill>
        </w:rPr>
        <w:t>自己名义开具的与设备结算价款对应的增值税普通发票，</w:t>
      </w:r>
      <w:r>
        <w:rPr>
          <w:rFonts w:hint="eastAsia" w:ascii="宋体" w:hAnsi="宋体" w:eastAsia="宋体" w:cs="宋体"/>
          <w:color w:val="000000" w:themeColor="text1"/>
          <w:sz w:val="24"/>
          <w:szCs w:val="24"/>
          <w:highlight w:val="none"/>
          <w:lang w:val="en-US" w:eastAsia="zh-CN"/>
          <w14:textFill>
            <w14:solidFill>
              <w14:schemeClr w14:val="tx1"/>
            </w14:solidFill>
          </w14:textFill>
        </w:rPr>
        <w:t>如乙方未及时提供发票，甲方有权顺延付款，由此产生的责任均由乙方自行承担</w:t>
      </w:r>
      <w:r>
        <w:rPr>
          <w:rFonts w:hint="eastAsia" w:ascii="宋体" w:hAnsi="宋体" w:eastAsia="宋体" w:cs="宋体"/>
          <w:color w:val="000000" w:themeColor="text1"/>
          <w:sz w:val="24"/>
          <w:szCs w:val="24"/>
          <w:lang w:val="en-US" w:eastAsia="zh-CN"/>
          <w14:textFill>
            <w14:solidFill>
              <w14:schemeClr w14:val="tx1"/>
            </w14:solidFill>
          </w14:textFill>
        </w:rPr>
        <w:t>。</w:t>
      </w:r>
    </w:p>
    <w:p w14:paraId="4C51A7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6.1.3 乙方开具的发票金额应与设备总体验收报告单内容一致，甲方不支付超出设备总体验收报告单内容以外的任何费用。</w:t>
      </w:r>
    </w:p>
    <w:p w14:paraId="73CC83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6.2  耗材款结算：</w:t>
      </w:r>
    </w:p>
    <w:p w14:paraId="50168B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耗材结算价款</w:t>
      </w:r>
      <w:r>
        <w:rPr>
          <w:rFonts w:hint="default" w:ascii="宋体" w:hAnsi="宋体" w:eastAsia="宋体" w:cs="宋体"/>
          <w:color w:val="000000" w:themeColor="text1"/>
          <w:sz w:val="24"/>
          <w:szCs w:val="24"/>
          <w:lang w:val="en-US" w:eastAsia="zh-CN"/>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甲方的</w:t>
      </w:r>
      <w:r>
        <w:rPr>
          <w:rFonts w:hint="default" w:ascii="宋体" w:hAnsi="宋体" w:eastAsia="宋体" w:cs="宋体"/>
          <w:color w:val="000000" w:themeColor="text1"/>
          <w:sz w:val="24"/>
          <w:szCs w:val="24"/>
          <w:lang w:val="en-US" w:eastAsia="zh-CN"/>
          <w14:textFill>
            <w14:solidFill>
              <w14:schemeClr w14:val="tx1"/>
            </w14:solidFill>
          </w14:textFill>
        </w:rPr>
        <w:t>书面订单、经甲方签字确认的乙方送货单按</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据实</w:t>
      </w:r>
      <w:r>
        <w:rPr>
          <w:rFonts w:hint="default" w:ascii="宋体" w:hAnsi="宋体" w:eastAsia="宋体" w:cs="宋体"/>
          <w:color w:val="000000" w:themeColor="text1"/>
          <w:sz w:val="24"/>
          <w:szCs w:val="24"/>
          <w:lang w:val="en-US" w:eastAsia="zh-CN"/>
          <w14:textFill>
            <w14:solidFill>
              <w14:schemeClr w14:val="tx1"/>
            </w14:solidFill>
          </w14:textFill>
        </w:rPr>
        <w:t>结算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乙方应向甲方提供以乙方名义开具的与</w:t>
      </w:r>
      <w:r>
        <w:rPr>
          <w:rFonts w:hint="eastAsia" w:ascii="宋体" w:hAnsi="宋体" w:eastAsia="宋体" w:cs="宋体"/>
          <w:color w:val="000000" w:themeColor="text1"/>
          <w:sz w:val="24"/>
          <w:szCs w:val="24"/>
          <w:lang w:val="en-US" w:eastAsia="zh-CN"/>
          <w14:textFill>
            <w14:solidFill>
              <w14:schemeClr w14:val="tx1"/>
            </w14:solidFill>
          </w14:textFill>
        </w:rPr>
        <w:t>该批次</w:t>
      </w:r>
      <w:r>
        <w:rPr>
          <w:rFonts w:hint="default" w:ascii="宋体" w:hAnsi="宋体" w:eastAsia="宋体" w:cs="宋体"/>
          <w:color w:val="000000" w:themeColor="text1"/>
          <w:sz w:val="24"/>
          <w:szCs w:val="24"/>
          <w:lang w:val="en-US" w:eastAsia="zh-CN"/>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szCs w:val="24"/>
          <w:lang w:val="en-US" w:eastAsia="zh-CN"/>
          <w14:textFill>
            <w14:solidFill>
              <w14:schemeClr w14:val="tx1"/>
            </w14:solidFill>
          </w14:textFill>
        </w:rPr>
        <w:t>，由此产生的责任均由乙方自行承担</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甲方自收到乙方发票且财务入账后180日内（如遇特殊情况顺延）向乙方支付该批次结算价款</w:t>
      </w:r>
      <w:r>
        <w:rPr>
          <w:rFonts w:hint="default" w:ascii="宋体" w:hAnsi="宋体" w:eastAsia="宋体" w:cs="宋体"/>
          <w:color w:val="000000" w:themeColor="text1"/>
          <w:sz w:val="24"/>
          <w:szCs w:val="24"/>
          <w:lang w:val="en-US" w:eastAsia="zh-CN"/>
          <w14:textFill>
            <w14:solidFill>
              <w14:schemeClr w14:val="tx1"/>
            </w14:solidFill>
          </w14:textFill>
        </w:rPr>
        <w:t>。</w:t>
      </w:r>
    </w:p>
    <w:p w14:paraId="171744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与甲方办理结算手续。</w:t>
      </w:r>
    </w:p>
    <w:p w14:paraId="6B1B5B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甲方通过银行转账方式向乙方指定银行账户支付设备和耗材结算价款，乙方指定账户：</w:t>
      </w:r>
    </w:p>
    <w:p w14:paraId="66EDF4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51AF8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14:paraId="6D6861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14:paraId="68DB8A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14:paraId="7C7E65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6DA736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52CF3B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7.3  如耗材在有效期内出现质量问题，给甲方、乙方或第三方人身、财产造成的所有损失，均由乙方负责处理和承担全部法律责任、经济赔偿。</w:t>
      </w:r>
    </w:p>
    <w:p w14:paraId="22386A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7.4  乙方确保本合同约定设备及耗材的权利均无瑕疵，包括所有权及知识产权等权利，否则由乙方承担全部法律责任和经济赔偿。</w:t>
      </w:r>
    </w:p>
    <w:p w14:paraId="2F432B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廉洁条款</w:t>
      </w:r>
    </w:p>
    <w:p w14:paraId="4F90F7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1B4204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color w:val="000000" w:themeColor="text1"/>
          <w:sz w:val="24"/>
          <w:szCs w:val="24"/>
          <w:u w:val="single"/>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077F678">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878E39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0161B59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5492F99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430B0E0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1FCCEB5">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49495D1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64E18E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26304FD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7248283@qq.com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710F14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403385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47CF7C5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0CCB5B8">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4DB28CB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2A02B21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11.2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6B42436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r>
        <w:rPr>
          <w:rFonts w:hint="eastAsia" w:ascii="宋体" w:hAnsi="宋体" w:eastAsia="宋体" w:cs="宋体"/>
          <w:color w:val="000000" w:themeColor="text1"/>
          <w:sz w:val="24"/>
          <w:highlight w:val="none"/>
          <w:lang w:eastAsia="zh-CN"/>
          <w14:textFill>
            <w14:solidFill>
              <w14:schemeClr w14:val="tx1"/>
            </w14:solidFill>
          </w14:textFill>
        </w:rPr>
        <w:t>。</w:t>
      </w:r>
    </w:p>
    <w:p w14:paraId="7392D41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 乙方提供的设备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耗材</w:t>
      </w:r>
      <w:r>
        <w:rPr>
          <w:rFonts w:hint="eastAsia" w:ascii="宋体" w:hAnsi="宋体" w:eastAsia="宋体" w:cs="宋体"/>
          <w:color w:val="000000" w:themeColor="text1"/>
          <w:sz w:val="24"/>
          <w:highlight w:val="none"/>
          <w14:textFill>
            <w14:solidFill>
              <w14:schemeClr w14:val="tx1"/>
            </w14:solidFill>
          </w14:textFill>
        </w:rPr>
        <w:t>质量不符合国家标准、本合同标准或响应文件约定标准</w:t>
      </w:r>
      <w:r>
        <w:rPr>
          <w:rFonts w:hint="eastAsia" w:ascii="宋体" w:hAnsi="宋体" w:eastAsia="宋体" w:cs="宋体"/>
          <w:color w:val="000000" w:themeColor="text1"/>
          <w:sz w:val="24"/>
          <w:highlight w:val="none"/>
          <w:lang w:eastAsia="zh-CN"/>
          <w14:textFill>
            <w14:solidFill>
              <w14:schemeClr w14:val="tx1"/>
            </w14:solidFill>
          </w14:textFill>
        </w:rPr>
        <w:t>。</w:t>
      </w:r>
    </w:p>
    <w:p w14:paraId="4862C5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000879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251461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11.2.5 乙方违反甲方制度的，或乙方经甲方供应商管理考核为不合格供应商的。</w:t>
      </w:r>
    </w:p>
    <w:p w14:paraId="63ACF9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11.2.6 乙方未经甲方设备科发出书面订单采购私自向甲方科室配送的。</w:t>
      </w:r>
    </w:p>
    <w:p w14:paraId="427DA1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11.2.7 乙方将订单转包、分包给第三方。</w:t>
      </w:r>
    </w:p>
    <w:p w14:paraId="258436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11.2.8 乙方在本合同履行期间因违法行为被追究刑事责任的，或被予以吊销营业执照、取消资质等行政处罚，或乙方被接管、资金被冻结的。</w:t>
      </w:r>
    </w:p>
    <w:p w14:paraId="1432CF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11.2.9 其他根本违约的情形。</w:t>
      </w:r>
    </w:p>
    <w:p w14:paraId="76FB5561">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079E383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6C125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如乙方未在本合同约定时间内将验收合格的设备交付给甲方使用，除应赔偿甲方因此造成的损失外，每逾期一日，按本合同约定设备总价款的千分之一向甲方支付违约金。</w:t>
      </w:r>
    </w:p>
    <w:p w14:paraId="0FD4A06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.3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如乙方未在本合同约定时间内将验收合格的耗材交付给甲方使用，除应赔偿甲方因此造成的损失外，每逾期一日，按该批次耗材结算金额的百分之五向甲方支付违约金。</w:t>
      </w:r>
    </w:p>
    <w:p w14:paraId="010FB6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FF0000"/>
          <w:sz w:val="24"/>
          <w:szCs w:val="24"/>
          <w:u w:val="none"/>
          <w:lang w:val="en-US" w:eastAsia="zh-CN"/>
        </w:rPr>
      </w:pPr>
      <w:r>
        <w:rPr>
          <w:rFonts w:hint="eastAsia" w:ascii="宋体" w:hAnsi="宋体" w:eastAsia="宋体" w:cs="宋体"/>
          <w:color w:val="FF0000"/>
          <w:sz w:val="24"/>
          <w:szCs w:val="24"/>
          <w:lang w:val="en-US" w:eastAsia="zh-CN"/>
        </w:rPr>
        <w:t>12.4  如乙方单方解除合同或甲方因乙方原因解除合同，乙方应赔偿给甲方造成的全部经济损失外还应向甲方支付违约金</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none"/>
          <w:lang w:val="en-US" w:eastAsia="zh-CN"/>
        </w:rPr>
        <w:t>元（按设备中标价的30%计算）</w:t>
      </w:r>
      <w:r>
        <w:rPr>
          <w:rFonts w:hint="eastAsia" w:ascii="宋体" w:hAnsi="宋体" w:eastAsia="宋体" w:cs="宋体"/>
          <w:color w:val="FF0000"/>
          <w:sz w:val="24"/>
          <w:szCs w:val="24"/>
          <w:lang w:val="en-US" w:eastAsia="zh-CN"/>
        </w:rPr>
        <w:t>。</w:t>
      </w:r>
    </w:p>
    <w:p w14:paraId="44B99A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12.5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E427FC">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12.6 依据本合同约定乙方应支付给甲方的违约金，甲方有权在应支付给乙方的任意价款中直接予以扣除，如扣除部分不足，乙方应在接到甲方通知后3日内补足。</w:t>
      </w:r>
    </w:p>
    <w:p w14:paraId="1AB466DC">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3C02F69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7DF01E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9168C98">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A9F0F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14.1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本合同补充协议；本合同及附件；议价结果公示；响应文件；采购文件；其他与本合同有关的资料。</w:t>
      </w:r>
    </w:p>
    <w:p w14:paraId="65F955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7551CD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4A10E1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14:paraId="1B8D08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法定代表人（签字）：    </w:t>
      </w:r>
    </w:p>
    <w:p w14:paraId="798095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14:paraId="73B97E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14:paraId="4FFCD74A">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BC10B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DDA99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593715" cy="7958455"/>
            <wp:effectExtent l="0" t="0" r="6985" b="444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593715" cy="7958455"/>
                    </a:xfrm>
                    <a:prstGeom prst="rect">
                      <a:avLst/>
                    </a:prstGeom>
                  </pic:spPr>
                </pic:pic>
              </a:graphicData>
            </a:graphic>
          </wp:inline>
        </w:drawing>
      </w:r>
      <w:r>
        <w:rPr>
          <w:rFonts w:hint="eastAsia" w:eastAsiaTheme="minorEastAsia"/>
          <w:lang w:eastAsia="zh-CN"/>
        </w:rPr>
        <w:drawing>
          <wp:inline distT="0" distB="0" distL="114300" distR="114300">
            <wp:extent cx="5650230" cy="8082915"/>
            <wp:effectExtent l="0" t="0" r="762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650230" cy="8082915"/>
                    </a:xfrm>
                    <a:prstGeom prst="rect">
                      <a:avLst/>
                    </a:prstGeom>
                  </pic:spPr>
                </pic:pic>
              </a:graphicData>
            </a:graphic>
          </wp:inline>
        </w:drawing>
      </w:r>
      <w:r>
        <w:rPr>
          <w:rFonts w:hint="eastAsia" w:eastAsiaTheme="minorEastAsia"/>
          <w:lang w:eastAsia="zh-CN"/>
        </w:rPr>
        <w:drawing>
          <wp:inline distT="0" distB="0" distL="114300" distR="114300">
            <wp:extent cx="5786120" cy="8161020"/>
            <wp:effectExtent l="0" t="0" r="5080" b="1143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86120" cy="8161020"/>
                    </a:xfrm>
                    <a:prstGeom prst="rect">
                      <a:avLst/>
                    </a:prstGeom>
                  </pic:spPr>
                </pic:pic>
              </a:graphicData>
            </a:graphic>
          </wp:inline>
        </w:drawing>
      </w:r>
      <w:r>
        <w:rPr>
          <w:rFonts w:hint="eastAsia" w:eastAsiaTheme="minorEastAsia"/>
          <w:lang w:eastAsia="zh-CN"/>
        </w:rPr>
        <w:drawing>
          <wp:inline distT="0" distB="0" distL="114300" distR="114300">
            <wp:extent cx="5793740" cy="8176260"/>
            <wp:effectExtent l="0" t="0" r="16510" b="1524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93740" cy="8176260"/>
                    </a:xfrm>
                    <a:prstGeom prst="rect">
                      <a:avLst/>
                    </a:prstGeom>
                  </pic:spPr>
                </pic:pic>
              </a:graphicData>
            </a:graphic>
          </wp:inline>
        </w:drawing>
      </w:r>
    </w:p>
    <w:p w14:paraId="4F5B6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14:paraId="18C0EA55">
      <w:pPr>
        <w:rPr>
          <w:rFonts w:hint="eastAsia" w:ascii="宋体" w:hAnsi="宋体" w:cs="宋体"/>
          <w:color w:val="auto"/>
          <w:sz w:val="44"/>
          <w:szCs w:val="44"/>
          <w:lang w:val="en-US" w:eastAsia="zh-CN"/>
        </w:rPr>
      </w:pPr>
    </w:p>
    <w:p w14:paraId="5DEF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14:paraId="7440F8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886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4705"/>
        <w:gridCol w:w="3439"/>
      </w:tblGrid>
      <w:tr w14:paraId="4FD447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724" w:type="dxa"/>
            <w:tcBorders>
              <w:top w:val="double" w:color="auto" w:sz="4" w:space="0"/>
              <w:left w:val="double" w:color="auto" w:sz="4" w:space="0"/>
              <w:bottom w:val="single" w:color="auto" w:sz="6" w:space="0"/>
              <w:right w:val="single" w:color="auto" w:sz="6" w:space="0"/>
            </w:tcBorders>
            <w:noWrap w:val="0"/>
            <w:vAlign w:val="center"/>
          </w:tcPr>
          <w:p w14:paraId="7EE87109">
            <w:pPr>
              <w:jc w:val="center"/>
              <w:rPr>
                <w:rFonts w:hint="eastAsia" w:ascii="仿宋" w:hAnsi="仿宋" w:eastAsia="仿宋" w:cs="仿宋"/>
                <w:sz w:val="24"/>
                <w:szCs w:val="24"/>
                <w:lang w:val="ru-RU" w:eastAsia="ru-RU"/>
              </w:rPr>
            </w:pPr>
            <w:r>
              <w:rPr>
                <w:rFonts w:hint="eastAsia" w:ascii="仿宋" w:hAnsi="仿宋" w:eastAsia="仿宋" w:cs="仿宋"/>
                <w:sz w:val="24"/>
                <w:szCs w:val="24"/>
                <w:lang w:val="ru-RU" w:eastAsia="ru-RU"/>
              </w:rPr>
              <w:t>序号</w:t>
            </w:r>
          </w:p>
        </w:tc>
        <w:tc>
          <w:tcPr>
            <w:tcW w:w="4705" w:type="dxa"/>
            <w:tcBorders>
              <w:top w:val="double" w:color="auto" w:sz="4" w:space="0"/>
              <w:left w:val="single" w:color="auto" w:sz="6" w:space="0"/>
              <w:bottom w:val="single" w:color="auto" w:sz="6" w:space="0"/>
              <w:right w:val="single" w:color="auto" w:sz="6" w:space="0"/>
            </w:tcBorders>
            <w:noWrap w:val="0"/>
            <w:vAlign w:val="center"/>
          </w:tcPr>
          <w:p w14:paraId="173B3D49">
            <w:pPr>
              <w:jc w:val="center"/>
              <w:rPr>
                <w:rFonts w:hint="eastAsia" w:ascii="仿宋" w:hAnsi="仿宋" w:eastAsia="仿宋" w:cs="仿宋"/>
                <w:sz w:val="24"/>
                <w:szCs w:val="24"/>
                <w:lang w:val="ru-RU" w:eastAsia="ru-RU"/>
              </w:rPr>
            </w:pPr>
            <w:r>
              <w:rPr>
                <w:rFonts w:hint="eastAsia" w:ascii="仿宋" w:hAnsi="仿宋" w:eastAsia="仿宋" w:cs="仿宋"/>
                <w:sz w:val="24"/>
                <w:szCs w:val="24"/>
                <w:lang w:val="ru-RU" w:eastAsia="ru-RU"/>
              </w:rPr>
              <w:t>项     目</w:t>
            </w:r>
          </w:p>
        </w:tc>
        <w:tc>
          <w:tcPr>
            <w:tcW w:w="3439" w:type="dxa"/>
            <w:tcBorders>
              <w:top w:val="double" w:color="auto" w:sz="4" w:space="0"/>
              <w:left w:val="single" w:color="auto" w:sz="6" w:space="0"/>
              <w:bottom w:val="single" w:color="auto" w:sz="6" w:space="0"/>
              <w:right w:val="double" w:color="auto" w:sz="4" w:space="0"/>
            </w:tcBorders>
            <w:noWrap w:val="0"/>
            <w:vAlign w:val="center"/>
          </w:tcPr>
          <w:p w14:paraId="5A04CB7A">
            <w:pPr>
              <w:jc w:val="center"/>
              <w:rPr>
                <w:rFonts w:hint="eastAsia" w:ascii="仿宋" w:hAnsi="仿宋" w:eastAsia="仿宋" w:cs="仿宋"/>
                <w:sz w:val="24"/>
                <w:szCs w:val="24"/>
                <w:lang w:val="ru-RU" w:eastAsia="ru-RU"/>
              </w:rPr>
            </w:pPr>
            <w:r>
              <w:rPr>
                <w:rFonts w:hint="eastAsia" w:ascii="仿宋" w:hAnsi="仿宋" w:eastAsia="仿宋" w:cs="仿宋"/>
                <w:sz w:val="24"/>
                <w:szCs w:val="24"/>
                <w:lang w:val="ru-RU" w:eastAsia="ru-RU"/>
              </w:rPr>
              <w:t>权值的取值</w:t>
            </w:r>
          </w:p>
        </w:tc>
      </w:tr>
      <w:tr w14:paraId="22A72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24" w:type="dxa"/>
            <w:tcBorders>
              <w:top w:val="single" w:color="auto" w:sz="6" w:space="0"/>
              <w:left w:val="double" w:color="auto" w:sz="4" w:space="0"/>
              <w:bottom w:val="single" w:color="auto" w:sz="6" w:space="0"/>
              <w:right w:val="single" w:color="auto" w:sz="6" w:space="0"/>
            </w:tcBorders>
            <w:noWrap w:val="0"/>
            <w:vAlign w:val="center"/>
          </w:tcPr>
          <w:p w14:paraId="5BF3074D">
            <w:pPr>
              <w:jc w:val="center"/>
              <w:rPr>
                <w:rFonts w:hint="eastAsia" w:ascii="仿宋" w:hAnsi="仿宋" w:eastAsia="仿宋" w:cs="仿宋"/>
                <w:sz w:val="24"/>
                <w:szCs w:val="24"/>
                <w:lang w:val="ru-RU" w:eastAsia="ru-RU"/>
              </w:rPr>
            </w:pPr>
            <w:r>
              <w:rPr>
                <w:rFonts w:hint="eastAsia" w:ascii="仿宋" w:hAnsi="仿宋" w:eastAsia="仿宋" w:cs="仿宋"/>
                <w:sz w:val="24"/>
                <w:szCs w:val="24"/>
                <w:lang w:val="ru-RU" w:eastAsia="ru-RU"/>
              </w:rPr>
              <w:t>1</w:t>
            </w:r>
          </w:p>
        </w:tc>
        <w:tc>
          <w:tcPr>
            <w:tcW w:w="4705" w:type="dxa"/>
            <w:tcBorders>
              <w:top w:val="single" w:color="auto" w:sz="6" w:space="0"/>
              <w:left w:val="single" w:color="auto" w:sz="6" w:space="0"/>
              <w:bottom w:val="single" w:color="auto" w:sz="6" w:space="0"/>
              <w:right w:val="single" w:color="auto" w:sz="6" w:space="0"/>
            </w:tcBorders>
            <w:noWrap w:val="0"/>
            <w:vAlign w:val="center"/>
          </w:tcPr>
          <w:p w14:paraId="72F9EC0B">
            <w:pPr>
              <w:jc w:val="center"/>
              <w:rPr>
                <w:rFonts w:hint="eastAsia" w:ascii="仿宋" w:hAnsi="仿宋" w:eastAsia="仿宋" w:cs="仿宋"/>
                <w:sz w:val="24"/>
                <w:szCs w:val="24"/>
                <w:lang w:val="ru-RU"/>
              </w:rPr>
            </w:pPr>
            <w:r>
              <w:rPr>
                <w:rFonts w:hint="eastAsia" w:ascii="仿宋" w:hAnsi="仿宋" w:eastAsia="仿宋" w:cs="仿宋"/>
                <w:sz w:val="24"/>
                <w:szCs w:val="24"/>
                <w:lang w:val="ru-RU" w:eastAsia="ru-RU"/>
              </w:rPr>
              <w:t>报价</w:t>
            </w:r>
            <w:r>
              <w:rPr>
                <w:rFonts w:hint="eastAsia" w:ascii="仿宋" w:hAnsi="仿宋" w:eastAsia="仿宋" w:cs="仿宋"/>
                <w:sz w:val="24"/>
                <w:szCs w:val="24"/>
                <w:lang w:val="ru-RU"/>
              </w:rPr>
              <w:t>（A1）</w:t>
            </w:r>
          </w:p>
        </w:tc>
        <w:tc>
          <w:tcPr>
            <w:tcW w:w="3439" w:type="dxa"/>
            <w:tcBorders>
              <w:top w:val="single" w:color="auto" w:sz="6" w:space="0"/>
              <w:left w:val="single" w:color="auto" w:sz="6" w:space="0"/>
              <w:bottom w:val="single" w:color="auto" w:sz="6" w:space="0"/>
              <w:right w:val="double" w:color="auto" w:sz="4" w:space="0"/>
            </w:tcBorders>
            <w:noWrap w:val="0"/>
            <w:vAlign w:val="center"/>
          </w:tcPr>
          <w:p w14:paraId="7E3AA480">
            <w:pPr>
              <w:jc w:val="center"/>
              <w:rPr>
                <w:rFonts w:hint="eastAsia" w:ascii="仿宋" w:hAnsi="仿宋" w:eastAsia="仿宋" w:cs="仿宋"/>
                <w:sz w:val="24"/>
                <w:szCs w:val="24"/>
              </w:rPr>
            </w:pPr>
            <w:r>
              <w:rPr>
                <w:rFonts w:hint="eastAsia" w:ascii="仿宋" w:hAnsi="仿宋" w:eastAsia="仿宋" w:cs="仿宋"/>
                <w:sz w:val="24"/>
                <w:szCs w:val="24"/>
              </w:rPr>
              <w:t>50%（设备45%+专机耗材5%）</w:t>
            </w:r>
          </w:p>
        </w:tc>
      </w:tr>
      <w:tr w14:paraId="0323DC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24" w:type="dxa"/>
            <w:tcBorders>
              <w:top w:val="single" w:color="auto" w:sz="6" w:space="0"/>
              <w:left w:val="double" w:color="auto" w:sz="4" w:space="0"/>
              <w:bottom w:val="single" w:color="auto" w:sz="6" w:space="0"/>
              <w:right w:val="single" w:color="auto" w:sz="6" w:space="0"/>
            </w:tcBorders>
            <w:noWrap w:val="0"/>
            <w:vAlign w:val="center"/>
          </w:tcPr>
          <w:p w14:paraId="1B7889E7">
            <w:pPr>
              <w:jc w:val="center"/>
              <w:rPr>
                <w:rFonts w:hint="eastAsia" w:ascii="仿宋" w:hAnsi="仿宋" w:eastAsia="仿宋" w:cs="仿宋"/>
                <w:sz w:val="24"/>
                <w:szCs w:val="24"/>
                <w:lang w:val="ru-RU" w:eastAsia="ru-RU"/>
              </w:rPr>
            </w:pPr>
            <w:r>
              <w:rPr>
                <w:rFonts w:hint="eastAsia" w:ascii="仿宋" w:hAnsi="仿宋" w:eastAsia="仿宋" w:cs="仿宋"/>
                <w:sz w:val="24"/>
                <w:szCs w:val="24"/>
                <w:lang w:val="ru-RU" w:eastAsia="ru-RU"/>
              </w:rPr>
              <w:t>2</w:t>
            </w:r>
          </w:p>
        </w:tc>
        <w:tc>
          <w:tcPr>
            <w:tcW w:w="4705" w:type="dxa"/>
            <w:tcBorders>
              <w:top w:val="single" w:color="auto" w:sz="6" w:space="0"/>
              <w:left w:val="single" w:color="auto" w:sz="6" w:space="0"/>
              <w:bottom w:val="single" w:color="auto" w:sz="6" w:space="0"/>
              <w:right w:val="single" w:color="auto" w:sz="6" w:space="0"/>
            </w:tcBorders>
            <w:noWrap w:val="0"/>
            <w:vAlign w:val="center"/>
          </w:tcPr>
          <w:p w14:paraId="51BC8379">
            <w:pPr>
              <w:jc w:val="center"/>
              <w:rPr>
                <w:rFonts w:hint="eastAsia" w:ascii="仿宋" w:hAnsi="仿宋" w:eastAsia="仿宋" w:cs="仿宋"/>
                <w:sz w:val="24"/>
                <w:szCs w:val="24"/>
                <w:lang w:val="ru-RU" w:eastAsia="ru-RU"/>
              </w:rPr>
            </w:pPr>
            <w:r>
              <w:rPr>
                <w:rFonts w:hint="eastAsia" w:ascii="仿宋" w:hAnsi="仿宋" w:eastAsia="仿宋" w:cs="仿宋"/>
                <w:sz w:val="24"/>
                <w:szCs w:val="24"/>
                <w:lang w:val="ru-RU" w:eastAsia="ru-RU"/>
              </w:rPr>
              <w:t>技术</w:t>
            </w:r>
            <w:r>
              <w:rPr>
                <w:rFonts w:hint="eastAsia" w:ascii="仿宋" w:hAnsi="仿宋" w:eastAsia="仿宋" w:cs="仿宋"/>
                <w:sz w:val="24"/>
                <w:szCs w:val="24"/>
                <w:lang w:val="ru-RU"/>
              </w:rPr>
              <w:t>（A2）</w:t>
            </w:r>
          </w:p>
        </w:tc>
        <w:tc>
          <w:tcPr>
            <w:tcW w:w="3439" w:type="dxa"/>
            <w:tcBorders>
              <w:top w:val="single" w:color="auto" w:sz="6" w:space="0"/>
              <w:left w:val="single" w:color="auto" w:sz="6" w:space="0"/>
              <w:bottom w:val="single" w:color="auto" w:sz="6" w:space="0"/>
              <w:right w:val="double" w:color="auto" w:sz="4" w:space="0"/>
            </w:tcBorders>
            <w:noWrap w:val="0"/>
            <w:vAlign w:val="center"/>
          </w:tcPr>
          <w:p w14:paraId="20D15E51">
            <w:pPr>
              <w:jc w:val="center"/>
              <w:rPr>
                <w:rFonts w:hint="eastAsia" w:ascii="仿宋" w:hAnsi="仿宋" w:eastAsia="仿宋" w:cs="仿宋"/>
                <w:sz w:val="24"/>
                <w:szCs w:val="24"/>
              </w:rPr>
            </w:pPr>
            <w:r>
              <w:rPr>
                <w:rFonts w:hint="eastAsia" w:ascii="仿宋" w:hAnsi="仿宋" w:eastAsia="仿宋" w:cs="仿宋"/>
                <w:sz w:val="24"/>
                <w:szCs w:val="24"/>
              </w:rPr>
              <w:t>40%</w:t>
            </w:r>
          </w:p>
        </w:tc>
      </w:tr>
      <w:tr w14:paraId="3B382F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24" w:type="dxa"/>
            <w:tcBorders>
              <w:top w:val="single" w:color="auto" w:sz="6" w:space="0"/>
              <w:left w:val="double" w:color="auto" w:sz="4" w:space="0"/>
              <w:bottom w:val="single" w:color="auto" w:sz="6" w:space="0"/>
              <w:right w:val="single" w:color="auto" w:sz="6" w:space="0"/>
            </w:tcBorders>
            <w:noWrap w:val="0"/>
            <w:vAlign w:val="center"/>
          </w:tcPr>
          <w:p w14:paraId="58C16F54">
            <w:pPr>
              <w:jc w:val="center"/>
              <w:rPr>
                <w:rFonts w:hint="eastAsia" w:ascii="仿宋" w:hAnsi="仿宋" w:eastAsia="仿宋" w:cs="仿宋"/>
                <w:sz w:val="24"/>
                <w:szCs w:val="24"/>
                <w:lang w:val="ru-RU" w:eastAsia="ru-RU"/>
              </w:rPr>
            </w:pPr>
            <w:r>
              <w:rPr>
                <w:rFonts w:hint="eastAsia" w:ascii="仿宋" w:hAnsi="仿宋" w:eastAsia="仿宋" w:cs="仿宋"/>
                <w:sz w:val="24"/>
                <w:szCs w:val="24"/>
                <w:lang w:val="ru-RU" w:eastAsia="ru-RU"/>
              </w:rPr>
              <w:t>3</w:t>
            </w:r>
          </w:p>
        </w:tc>
        <w:tc>
          <w:tcPr>
            <w:tcW w:w="4705" w:type="dxa"/>
            <w:tcBorders>
              <w:top w:val="single" w:color="auto" w:sz="6" w:space="0"/>
              <w:left w:val="single" w:color="auto" w:sz="6" w:space="0"/>
              <w:bottom w:val="single" w:color="auto" w:sz="6" w:space="0"/>
              <w:right w:val="single" w:color="auto" w:sz="6" w:space="0"/>
            </w:tcBorders>
            <w:noWrap w:val="0"/>
            <w:vAlign w:val="center"/>
          </w:tcPr>
          <w:p w14:paraId="118F2ACE">
            <w:pPr>
              <w:jc w:val="center"/>
              <w:rPr>
                <w:rFonts w:hint="eastAsia" w:ascii="仿宋" w:hAnsi="仿宋" w:eastAsia="仿宋" w:cs="仿宋"/>
                <w:sz w:val="24"/>
                <w:szCs w:val="24"/>
                <w:lang w:val="ru-RU"/>
              </w:rPr>
            </w:pPr>
            <w:r>
              <w:rPr>
                <w:rFonts w:hint="eastAsia" w:ascii="仿宋" w:hAnsi="仿宋" w:eastAsia="仿宋" w:cs="仿宋"/>
                <w:sz w:val="24"/>
                <w:szCs w:val="24"/>
                <w:lang w:val="ru-RU"/>
              </w:rPr>
              <w:t>商务（A3）</w:t>
            </w:r>
          </w:p>
        </w:tc>
        <w:tc>
          <w:tcPr>
            <w:tcW w:w="3439" w:type="dxa"/>
            <w:tcBorders>
              <w:top w:val="single" w:color="auto" w:sz="6" w:space="0"/>
              <w:left w:val="single" w:color="auto" w:sz="6" w:space="0"/>
              <w:bottom w:val="single" w:color="auto" w:sz="6" w:space="0"/>
              <w:right w:val="double" w:color="auto" w:sz="4" w:space="0"/>
            </w:tcBorders>
            <w:noWrap w:val="0"/>
            <w:vAlign w:val="center"/>
          </w:tcPr>
          <w:p w14:paraId="2EE02E85">
            <w:pPr>
              <w:jc w:val="center"/>
              <w:rPr>
                <w:rFonts w:hint="eastAsia" w:ascii="仿宋" w:hAnsi="仿宋" w:eastAsia="仿宋" w:cs="仿宋"/>
                <w:sz w:val="24"/>
                <w:szCs w:val="24"/>
              </w:rPr>
            </w:pPr>
            <w:r>
              <w:rPr>
                <w:rFonts w:hint="eastAsia" w:ascii="仿宋" w:hAnsi="仿宋" w:eastAsia="仿宋" w:cs="仿宋"/>
                <w:sz w:val="24"/>
                <w:szCs w:val="24"/>
              </w:rPr>
              <w:t>10%</w:t>
            </w:r>
          </w:p>
        </w:tc>
      </w:tr>
      <w:tr w14:paraId="170FA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5429" w:type="dxa"/>
            <w:gridSpan w:val="2"/>
            <w:tcBorders>
              <w:top w:val="single" w:color="auto" w:sz="6" w:space="0"/>
              <w:left w:val="double" w:color="auto" w:sz="4" w:space="0"/>
              <w:bottom w:val="double" w:color="auto" w:sz="4" w:space="0"/>
              <w:right w:val="single" w:color="auto" w:sz="6" w:space="0"/>
            </w:tcBorders>
            <w:noWrap w:val="0"/>
            <w:vAlign w:val="center"/>
          </w:tcPr>
          <w:p w14:paraId="5D2BDF29">
            <w:pPr>
              <w:jc w:val="center"/>
              <w:rPr>
                <w:rFonts w:hint="eastAsia" w:ascii="仿宋" w:hAnsi="仿宋" w:eastAsia="仿宋" w:cs="仿宋"/>
                <w:sz w:val="24"/>
                <w:szCs w:val="24"/>
                <w:lang w:val="ru-RU" w:eastAsia="ru-RU"/>
              </w:rPr>
            </w:pPr>
            <w:r>
              <w:rPr>
                <w:rFonts w:hint="eastAsia" w:ascii="仿宋" w:hAnsi="仿宋" w:eastAsia="仿宋" w:cs="仿宋"/>
                <w:sz w:val="24"/>
                <w:szCs w:val="24"/>
                <w:lang w:val="ru-RU"/>
              </w:rPr>
              <w:t>合计</w:t>
            </w:r>
          </w:p>
        </w:tc>
        <w:tc>
          <w:tcPr>
            <w:tcW w:w="3439" w:type="dxa"/>
            <w:tcBorders>
              <w:top w:val="single" w:color="auto" w:sz="6" w:space="0"/>
              <w:left w:val="single" w:color="auto" w:sz="6" w:space="0"/>
              <w:bottom w:val="double" w:color="auto" w:sz="4" w:space="0"/>
              <w:right w:val="double" w:color="auto" w:sz="4" w:space="0"/>
            </w:tcBorders>
            <w:noWrap w:val="0"/>
            <w:vAlign w:val="center"/>
          </w:tcPr>
          <w:p w14:paraId="665494A7">
            <w:pPr>
              <w:jc w:val="center"/>
              <w:rPr>
                <w:rFonts w:hint="eastAsia" w:ascii="仿宋" w:hAnsi="仿宋" w:eastAsia="仿宋" w:cs="仿宋"/>
                <w:sz w:val="24"/>
                <w:szCs w:val="24"/>
              </w:rPr>
            </w:pPr>
            <w:r>
              <w:rPr>
                <w:rFonts w:hint="eastAsia" w:ascii="仿宋" w:hAnsi="仿宋" w:eastAsia="仿宋" w:cs="仿宋"/>
                <w:sz w:val="24"/>
                <w:szCs w:val="24"/>
              </w:rPr>
              <w:t>1</w:t>
            </w:r>
          </w:p>
        </w:tc>
      </w:tr>
    </w:tbl>
    <w:p w14:paraId="33DADF36">
      <w:pPr>
        <w:jc w:val="center"/>
        <w:rPr>
          <w:rFonts w:hint="eastAsia" w:ascii="仿宋" w:hAnsi="仿宋" w:eastAsia="仿宋" w:cs="仿宋"/>
          <w:sz w:val="24"/>
          <w:szCs w:val="24"/>
        </w:rPr>
      </w:pPr>
      <w:r>
        <w:rPr>
          <w:rFonts w:hint="eastAsia" w:ascii="仿宋" w:hAnsi="仿宋" w:eastAsia="仿宋" w:cs="仿宋"/>
          <w:sz w:val="24"/>
          <w:szCs w:val="24"/>
        </w:rPr>
        <w:t>附表1.1投标报价评审标准表</w:t>
      </w:r>
    </w:p>
    <w:tbl>
      <w:tblPr>
        <w:tblStyle w:val="10"/>
        <w:tblW w:w="891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2159"/>
        <w:gridCol w:w="6249"/>
      </w:tblGrid>
      <w:tr w14:paraId="423DB7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502" w:type="dxa"/>
            <w:tcBorders>
              <w:top w:val="double" w:color="auto" w:sz="4" w:space="0"/>
              <w:left w:val="double" w:color="auto" w:sz="4" w:space="0"/>
              <w:bottom w:val="single" w:color="auto" w:sz="6" w:space="0"/>
              <w:right w:val="single" w:color="auto" w:sz="4" w:space="0"/>
            </w:tcBorders>
            <w:noWrap w:val="0"/>
            <w:vAlign w:val="center"/>
          </w:tcPr>
          <w:p w14:paraId="1B0455E2">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59" w:type="dxa"/>
            <w:tcBorders>
              <w:top w:val="double" w:color="auto" w:sz="4" w:space="0"/>
              <w:left w:val="single" w:color="auto" w:sz="4" w:space="0"/>
              <w:bottom w:val="single" w:color="auto" w:sz="6" w:space="0"/>
              <w:right w:val="single" w:color="auto" w:sz="4" w:space="0"/>
            </w:tcBorders>
            <w:noWrap w:val="0"/>
            <w:vAlign w:val="center"/>
          </w:tcPr>
          <w:p w14:paraId="63431F5F">
            <w:pPr>
              <w:jc w:val="center"/>
              <w:rPr>
                <w:rFonts w:hint="eastAsia" w:ascii="仿宋" w:hAnsi="仿宋" w:eastAsia="仿宋" w:cs="仿宋"/>
                <w:sz w:val="24"/>
                <w:szCs w:val="24"/>
              </w:rPr>
            </w:pPr>
            <w:r>
              <w:rPr>
                <w:rFonts w:hint="eastAsia" w:ascii="仿宋" w:hAnsi="仿宋" w:eastAsia="仿宋" w:cs="仿宋"/>
                <w:sz w:val="24"/>
                <w:szCs w:val="24"/>
              </w:rPr>
              <w:t>评标因素（分值）</w:t>
            </w:r>
          </w:p>
        </w:tc>
        <w:tc>
          <w:tcPr>
            <w:tcW w:w="6249" w:type="dxa"/>
            <w:tcBorders>
              <w:top w:val="double" w:color="auto" w:sz="4" w:space="0"/>
              <w:left w:val="single" w:color="auto" w:sz="4" w:space="0"/>
              <w:bottom w:val="single" w:color="auto" w:sz="6" w:space="0"/>
              <w:right w:val="double" w:color="auto" w:sz="4" w:space="0"/>
            </w:tcBorders>
            <w:noWrap w:val="0"/>
            <w:vAlign w:val="center"/>
          </w:tcPr>
          <w:p w14:paraId="108F38D1">
            <w:pPr>
              <w:jc w:val="center"/>
              <w:rPr>
                <w:rFonts w:hint="eastAsia" w:ascii="仿宋" w:hAnsi="仿宋" w:eastAsia="仿宋" w:cs="仿宋"/>
                <w:sz w:val="24"/>
                <w:szCs w:val="24"/>
              </w:rPr>
            </w:pPr>
            <w:r>
              <w:rPr>
                <w:rFonts w:hint="eastAsia" w:ascii="仿宋" w:hAnsi="仿宋" w:eastAsia="仿宋" w:cs="仿宋"/>
                <w:sz w:val="24"/>
                <w:szCs w:val="24"/>
              </w:rPr>
              <w:t>评标标准</w:t>
            </w:r>
          </w:p>
        </w:tc>
      </w:tr>
      <w:tr w14:paraId="7AB5E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02" w:type="dxa"/>
            <w:tcBorders>
              <w:top w:val="single" w:color="auto" w:sz="6" w:space="0"/>
              <w:left w:val="double" w:color="auto" w:sz="4" w:space="0"/>
              <w:bottom w:val="single" w:color="auto" w:sz="6" w:space="0"/>
              <w:right w:val="single" w:color="auto" w:sz="4" w:space="0"/>
            </w:tcBorders>
            <w:noWrap w:val="0"/>
            <w:vAlign w:val="center"/>
          </w:tcPr>
          <w:p w14:paraId="741B3036">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59" w:type="dxa"/>
            <w:tcBorders>
              <w:top w:val="single" w:color="auto" w:sz="6" w:space="0"/>
              <w:left w:val="single" w:color="auto" w:sz="4" w:space="0"/>
              <w:bottom w:val="single" w:color="auto" w:sz="6" w:space="0"/>
              <w:right w:val="single" w:color="auto" w:sz="4" w:space="0"/>
            </w:tcBorders>
            <w:noWrap w:val="0"/>
            <w:vAlign w:val="center"/>
          </w:tcPr>
          <w:p w14:paraId="30BC638F">
            <w:pPr>
              <w:jc w:val="center"/>
              <w:rPr>
                <w:rFonts w:hint="eastAsia" w:ascii="仿宋" w:hAnsi="仿宋" w:eastAsia="仿宋" w:cs="仿宋"/>
                <w:sz w:val="24"/>
                <w:szCs w:val="24"/>
              </w:rPr>
            </w:pPr>
            <w:r>
              <w:rPr>
                <w:rFonts w:hint="eastAsia" w:ascii="仿宋" w:hAnsi="仿宋" w:eastAsia="仿宋" w:cs="仿宋"/>
                <w:sz w:val="24"/>
                <w:szCs w:val="24"/>
              </w:rPr>
              <w:t>价格评价项</w:t>
            </w:r>
          </w:p>
          <w:p w14:paraId="16E77178">
            <w:pPr>
              <w:jc w:val="center"/>
              <w:rPr>
                <w:rFonts w:hint="eastAsia" w:ascii="仿宋" w:hAnsi="仿宋" w:eastAsia="仿宋" w:cs="仿宋"/>
                <w:sz w:val="24"/>
                <w:szCs w:val="24"/>
              </w:rPr>
            </w:pPr>
            <w:r>
              <w:rPr>
                <w:rFonts w:hint="eastAsia" w:ascii="仿宋" w:hAnsi="仿宋" w:eastAsia="仿宋" w:cs="仿宋"/>
                <w:sz w:val="24"/>
                <w:szCs w:val="24"/>
              </w:rPr>
              <w:t>（F=100分）</w:t>
            </w:r>
          </w:p>
        </w:tc>
        <w:tc>
          <w:tcPr>
            <w:tcW w:w="6249" w:type="dxa"/>
            <w:tcBorders>
              <w:top w:val="single" w:color="auto" w:sz="6" w:space="0"/>
              <w:left w:val="single" w:color="auto" w:sz="4" w:space="0"/>
              <w:bottom w:val="single" w:color="auto" w:sz="6" w:space="0"/>
              <w:right w:val="double" w:color="auto" w:sz="4" w:space="0"/>
            </w:tcBorders>
            <w:noWrap w:val="0"/>
            <w:vAlign w:val="center"/>
          </w:tcPr>
          <w:p w14:paraId="1B727370">
            <w:pPr>
              <w:jc w:val="left"/>
              <w:rPr>
                <w:rFonts w:hint="eastAsia" w:ascii="仿宋" w:hAnsi="仿宋" w:eastAsia="仿宋" w:cs="仿宋"/>
                <w:sz w:val="24"/>
                <w:szCs w:val="24"/>
              </w:rPr>
            </w:pPr>
            <w:r>
              <w:rPr>
                <w:rFonts w:hint="eastAsia" w:ascii="仿宋" w:hAnsi="仿宋" w:eastAsia="仿宋" w:cs="仿宋"/>
                <w:sz w:val="24"/>
                <w:szCs w:val="24"/>
              </w:rPr>
              <w:t>1、满足招标文件要求且投标报价中最低的投标报价为评标基准价其价格分为满分；设备价格权值占比为45%，专机专用耗材价格权值占比为5%；报价总分＝设备报价得分＋专机专用耗材报价得分。投标人的价格分统一按照以下公式计算：</w:t>
            </w:r>
          </w:p>
          <w:p w14:paraId="7573AC48">
            <w:pPr>
              <w:jc w:val="left"/>
              <w:rPr>
                <w:rFonts w:hint="eastAsia" w:ascii="仿宋" w:hAnsi="仿宋" w:eastAsia="仿宋" w:cs="仿宋"/>
                <w:sz w:val="24"/>
                <w:szCs w:val="24"/>
              </w:rPr>
            </w:pPr>
            <w:r>
              <w:rPr>
                <w:rFonts w:hint="eastAsia" w:ascii="仿宋" w:hAnsi="仿宋" w:eastAsia="仿宋" w:cs="仿宋"/>
                <w:sz w:val="24"/>
                <w:szCs w:val="24"/>
              </w:rPr>
              <w:t>设备投标报价得分=（评标基准价/投标报价）×价格权值×100</w:t>
            </w:r>
          </w:p>
          <w:p w14:paraId="398E42EA">
            <w:pPr>
              <w:jc w:val="left"/>
              <w:rPr>
                <w:rFonts w:hint="eastAsia" w:ascii="仿宋" w:hAnsi="仿宋" w:eastAsia="仿宋" w:cs="仿宋"/>
                <w:sz w:val="24"/>
                <w:szCs w:val="24"/>
              </w:rPr>
            </w:pPr>
            <w:r>
              <w:rPr>
                <w:rFonts w:hint="eastAsia" w:ascii="仿宋" w:hAnsi="仿宋" w:eastAsia="仿宋" w:cs="仿宋"/>
                <w:sz w:val="24"/>
                <w:szCs w:val="24"/>
              </w:rPr>
              <w:t>专机专用耗材投标报价得分=（评标基准价/投标报价）×价格权值×100</w:t>
            </w:r>
          </w:p>
          <w:p w14:paraId="5C66E535">
            <w:pPr>
              <w:jc w:val="left"/>
              <w:rPr>
                <w:rFonts w:hint="eastAsia" w:ascii="仿宋" w:hAnsi="仿宋" w:eastAsia="仿宋" w:cs="仿宋"/>
                <w:sz w:val="24"/>
                <w:szCs w:val="24"/>
              </w:rPr>
            </w:pPr>
            <w:r>
              <w:rPr>
                <w:rFonts w:hint="eastAsia" w:ascii="仿宋" w:hAnsi="仿宋" w:eastAsia="仿宋" w:cs="仿宋"/>
                <w:sz w:val="24"/>
                <w:szCs w:val="24"/>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0BA615">
            <w:pPr>
              <w:jc w:val="left"/>
              <w:rPr>
                <w:rFonts w:hint="eastAsia" w:ascii="仿宋" w:hAnsi="仿宋" w:eastAsia="仿宋" w:cs="仿宋"/>
                <w:sz w:val="24"/>
                <w:szCs w:val="24"/>
              </w:rPr>
            </w:pPr>
            <w:r>
              <w:rPr>
                <w:rFonts w:hint="eastAsia" w:ascii="仿宋" w:hAnsi="仿宋" w:eastAsia="仿宋" w:cs="仿宋"/>
                <w:sz w:val="24"/>
                <w:szCs w:val="24"/>
              </w:rPr>
              <w:t>3、最终投标价以人民币元为单位，计算保留至小数点后2位（百分比亦然），小数点后第3位采取4舍5入。</w:t>
            </w:r>
          </w:p>
        </w:tc>
      </w:tr>
    </w:tbl>
    <w:p w14:paraId="614BF351">
      <w:pPr>
        <w:jc w:val="both"/>
        <w:rPr>
          <w:rFonts w:hint="eastAsia" w:ascii="仿宋" w:hAnsi="仿宋" w:eastAsia="仿宋" w:cs="仿宋"/>
          <w:sz w:val="24"/>
          <w:szCs w:val="24"/>
        </w:rPr>
      </w:pPr>
    </w:p>
    <w:p w14:paraId="1554B452">
      <w:pPr>
        <w:jc w:val="both"/>
        <w:rPr>
          <w:rFonts w:hint="eastAsia" w:ascii="仿宋" w:hAnsi="仿宋" w:eastAsia="仿宋" w:cs="仿宋"/>
          <w:sz w:val="24"/>
          <w:szCs w:val="24"/>
        </w:rPr>
      </w:pPr>
      <w:r>
        <w:rPr>
          <w:rFonts w:hint="eastAsia" w:ascii="仿宋" w:hAnsi="仿宋" w:eastAsia="仿宋" w:cs="仿宋"/>
          <w:sz w:val="24"/>
          <w:szCs w:val="24"/>
        </w:rPr>
        <w:br w:type="page"/>
      </w:r>
    </w:p>
    <w:p w14:paraId="5F766B0E">
      <w:pPr>
        <w:jc w:val="center"/>
        <w:rPr>
          <w:rFonts w:hint="eastAsia" w:ascii="仿宋" w:hAnsi="仿宋" w:eastAsia="仿宋" w:cs="仿宋"/>
          <w:sz w:val="24"/>
          <w:szCs w:val="24"/>
        </w:rPr>
      </w:pPr>
      <w:r>
        <w:rPr>
          <w:rFonts w:hint="eastAsia" w:ascii="仿宋" w:hAnsi="仿宋" w:eastAsia="仿宋" w:cs="仿宋"/>
          <w:sz w:val="24"/>
          <w:szCs w:val="24"/>
        </w:rPr>
        <w:t>附表1.2技术部分评审标准表</w:t>
      </w:r>
    </w:p>
    <w:tbl>
      <w:tblPr>
        <w:tblStyle w:val="10"/>
        <w:tblW w:w="89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3"/>
        <w:gridCol w:w="2160"/>
        <w:gridCol w:w="773"/>
        <w:gridCol w:w="772"/>
        <w:gridCol w:w="4732"/>
      </w:tblGrid>
      <w:tr w14:paraId="68C4F3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503" w:type="dxa"/>
            <w:tcBorders>
              <w:top w:val="double" w:color="auto" w:sz="4" w:space="0"/>
              <w:left w:val="double" w:color="auto" w:sz="4" w:space="0"/>
              <w:bottom w:val="single" w:color="auto" w:sz="6" w:space="0"/>
              <w:right w:val="single" w:color="auto" w:sz="4" w:space="0"/>
            </w:tcBorders>
            <w:noWrap w:val="0"/>
            <w:vAlign w:val="center"/>
          </w:tcPr>
          <w:p w14:paraId="02784703">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60" w:type="dxa"/>
            <w:tcBorders>
              <w:top w:val="double" w:color="auto" w:sz="4" w:space="0"/>
              <w:left w:val="single" w:color="auto" w:sz="4" w:space="0"/>
              <w:bottom w:val="single" w:color="auto" w:sz="6" w:space="0"/>
              <w:right w:val="single" w:color="auto" w:sz="4" w:space="0"/>
            </w:tcBorders>
            <w:noWrap w:val="0"/>
            <w:vAlign w:val="center"/>
          </w:tcPr>
          <w:p w14:paraId="2FEA214F">
            <w:pPr>
              <w:jc w:val="center"/>
              <w:rPr>
                <w:rFonts w:hint="eastAsia" w:ascii="仿宋" w:hAnsi="仿宋" w:eastAsia="仿宋" w:cs="仿宋"/>
                <w:sz w:val="24"/>
                <w:szCs w:val="24"/>
              </w:rPr>
            </w:pPr>
            <w:r>
              <w:rPr>
                <w:rFonts w:hint="eastAsia" w:ascii="仿宋" w:hAnsi="仿宋" w:eastAsia="仿宋" w:cs="仿宋"/>
                <w:sz w:val="24"/>
                <w:szCs w:val="24"/>
              </w:rPr>
              <w:t>评标因素（分值）</w:t>
            </w:r>
          </w:p>
        </w:tc>
        <w:tc>
          <w:tcPr>
            <w:tcW w:w="6277" w:type="dxa"/>
            <w:gridSpan w:val="3"/>
            <w:tcBorders>
              <w:top w:val="double" w:color="auto" w:sz="4" w:space="0"/>
              <w:left w:val="single" w:color="auto" w:sz="4" w:space="0"/>
              <w:bottom w:val="single" w:color="auto" w:sz="6" w:space="0"/>
              <w:right w:val="double" w:color="auto" w:sz="4" w:space="0"/>
            </w:tcBorders>
            <w:noWrap w:val="0"/>
            <w:vAlign w:val="center"/>
          </w:tcPr>
          <w:p w14:paraId="25D71E13">
            <w:pPr>
              <w:jc w:val="center"/>
              <w:rPr>
                <w:rFonts w:hint="eastAsia" w:ascii="仿宋" w:hAnsi="仿宋" w:eastAsia="仿宋" w:cs="仿宋"/>
                <w:sz w:val="24"/>
                <w:szCs w:val="24"/>
              </w:rPr>
            </w:pPr>
            <w:r>
              <w:rPr>
                <w:rFonts w:hint="eastAsia" w:ascii="仿宋" w:hAnsi="仿宋" w:eastAsia="仿宋" w:cs="仿宋"/>
                <w:sz w:val="24"/>
                <w:szCs w:val="24"/>
              </w:rPr>
              <w:t>评标标准</w:t>
            </w:r>
          </w:p>
        </w:tc>
      </w:tr>
      <w:tr w14:paraId="796E01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03" w:type="dxa"/>
            <w:tcBorders>
              <w:top w:val="single" w:color="auto" w:sz="6" w:space="0"/>
              <w:left w:val="double" w:color="auto" w:sz="4" w:space="0"/>
              <w:bottom w:val="single" w:color="auto" w:sz="6" w:space="0"/>
              <w:right w:val="single" w:color="auto" w:sz="4" w:space="0"/>
            </w:tcBorders>
            <w:noWrap w:val="0"/>
            <w:vAlign w:val="center"/>
          </w:tcPr>
          <w:p w14:paraId="67B4B751">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tcBorders>
              <w:top w:val="single" w:color="auto" w:sz="6" w:space="0"/>
              <w:left w:val="single" w:color="auto" w:sz="4" w:space="0"/>
              <w:bottom w:val="single" w:color="auto" w:sz="6" w:space="0"/>
              <w:right w:val="single" w:color="auto" w:sz="6" w:space="0"/>
            </w:tcBorders>
            <w:noWrap w:val="0"/>
            <w:vAlign w:val="center"/>
          </w:tcPr>
          <w:p w14:paraId="12DB6FE3">
            <w:pPr>
              <w:jc w:val="center"/>
              <w:rPr>
                <w:rFonts w:hint="eastAsia" w:ascii="仿宋" w:hAnsi="仿宋" w:eastAsia="仿宋" w:cs="仿宋"/>
                <w:sz w:val="24"/>
                <w:szCs w:val="24"/>
              </w:rPr>
            </w:pPr>
            <w:r>
              <w:rPr>
                <w:rFonts w:hint="eastAsia" w:ascii="仿宋" w:hAnsi="仿宋" w:eastAsia="仿宋" w:cs="仿宋"/>
                <w:sz w:val="24"/>
                <w:szCs w:val="24"/>
              </w:rPr>
              <w:t>技术评价项</w:t>
            </w:r>
          </w:p>
          <w:p w14:paraId="305BF3AF">
            <w:pPr>
              <w:jc w:val="center"/>
              <w:rPr>
                <w:rFonts w:hint="eastAsia" w:ascii="仿宋" w:hAnsi="仿宋" w:eastAsia="仿宋" w:cs="仿宋"/>
                <w:sz w:val="24"/>
                <w:szCs w:val="24"/>
              </w:rPr>
            </w:pPr>
            <w:r>
              <w:rPr>
                <w:rFonts w:hint="eastAsia" w:ascii="仿宋" w:hAnsi="仿宋" w:eastAsia="仿宋" w:cs="仿宋"/>
                <w:sz w:val="24"/>
                <w:szCs w:val="24"/>
              </w:rPr>
              <w:t>（F=100分）</w:t>
            </w:r>
          </w:p>
        </w:tc>
        <w:tc>
          <w:tcPr>
            <w:tcW w:w="773" w:type="dxa"/>
            <w:tcBorders>
              <w:top w:val="single" w:color="auto" w:sz="6" w:space="0"/>
              <w:left w:val="single" w:color="auto" w:sz="6" w:space="0"/>
              <w:bottom w:val="single" w:color="auto" w:sz="6" w:space="0"/>
              <w:right w:val="single" w:color="auto" w:sz="4" w:space="0"/>
            </w:tcBorders>
            <w:noWrap w:val="0"/>
            <w:vAlign w:val="center"/>
          </w:tcPr>
          <w:p w14:paraId="20DC8CC7">
            <w:pPr>
              <w:jc w:val="center"/>
              <w:rPr>
                <w:rFonts w:hint="eastAsia" w:ascii="仿宋" w:hAnsi="仿宋" w:eastAsia="仿宋" w:cs="仿宋"/>
                <w:sz w:val="24"/>
                <w:szCs w:val="24"/>
              </w:rPr>
            </w:pPr>
            <w:r>
              <w:rPr>
                <w:rFonts w:hint="eastAsia" w:ascii="仿宋" w:hAnsi="仿宋" w:eastAsia="仿宋" w:cs="仿宋"/>
                <w:sz w:val="24"/>
                <w:szCs w:val="24"/>
              </w:rPr>
              <w:t>技术参数</w:t>
            </w:r>
          </w:p>
        </w:tc>
        <w:tc>
          <w:tcPr>
            <w:tcW w:w="772" w:type="dxa"/>
            <w:tcBorders>
              <w:top w:val="single" w:color="auto" w:sz="6" w:space="0"/>
              <w:left w:val="single" w:color="auto" w:sz="4" w:space="0"/>
              <w:bottom w:val="single" w:color="auto" w:sz="6" w:space="0"/>
              <w:right w:val="single" w:color="auto" w:sz="6" w:space="0"/>
            </w:tcBorders>
            <w:noWrap w:val="0"/>
            <w:vAlign w:val="center"/>
          </w:tcPr>
          <w:p w14:paraId="769012A3">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4732" w:type="dxa"/>
            <w:tcBorders>
              <w:top w:val="single" w:color="auto" w:sz="6" w:space="0"/>
              <w:left w:val="single" w:color="auto" w:sz="6" w:space="0"/>
              <w:bottom w:val="single" w:color="auto" w:sz="6" w:space="0"/>
              <w:right w:val="double" w:color="auto" w:sz="4" w:space="0"/>
            </w:tcBorders>
            <w:noWrap w:val="0"/>
            <w:vAlign w:val="center"/>
          </w:tcPr>
          <w:p w14:paraId="40B9B3AA">
            <w:pPr>
              <w:jc w:val="left"/>
              <w:rPr>
                <w:rFonts w:hint="eastAsia" w:ascii="仿宋" w:hAnsi="仿宋" w:eastAsia="仿宋" w:cs="仿宋"/>
                <w:sz w:val="24"/>
                <w:szCs w:val="24"/>
              </w:rPr>
            </w:pPr>
            <w:r>
              <w:rPr>
                <w:rFonts w:hint="eastAsia" w:ascii="仿宋" w:hAnsi="仿宋" w:eastAsia="仿宋" w:cs="仿宋"/>
                <w:sz w:val="24"/>
                <w:szCs w:val="24"/>
              </w:rPr>
              <w:t>投标文件无技术条款响应/偏离表的本项计0分；</w:t>
            </w:r>
          </w:p>
          <w:p w14:paraId="049C97AB">
            <w:pPr>
              <w:jc w:val="left"/>
              <w:rPr>
                <w:rFonts w:hint="eastAsia" w:ascii="仿宋" w:hAnsi="仿宋" w:eastAsia="仿宋" w:cs="仿宋"/>
                <w:sz w:val="24"/>
                <w:szCs w:val="24"/>
              </w:rPr>
            </w:pPr>
            <w:r>
              <w:rPr>
                <w:rFonts w:hint="eastAsia" w:ascii="仿宋" w:hAnsi="仿宋" w:eastAsia="仿宋" w:cs="仿宋"/>
                <w:sz w:val="24"/>
                <w:szCs w:val="24"/>
              </w:rPr>
              <w:t>1、技术参数满足招标文件要求无负偏离的本项计100分；</w:t>
            </w:r>
          </w:p>
          <w:p w14:paraId="52A2D4D8">
            <w:pPr>
              <w:jc w:val="left"/>
              <w:rPr>
                <w:rFonts w:hint="eastAsia" w:ascii="仿宋" w:hAnsi="仿宋" w:eastAsia="仿宋" w:cs="仿宋"/>
                <w:sz w:val="24"/>
                <w:szCs w:val="24"/>
              </w:rPr>
            </w:pPr>
            <w:r>
              <w:rPr>
                <w:rFonts w:hint="eastAsia" w:ascii="仿宋" w:hAnsi="仿宋" w:eastAsia="仿宋" w:cs="仿宋"/>
                <w:sz w:val="24"/>
                <w:szCs w:val="24"/>
              </w:rPr>
              <w:t>2、标注“▲”的参数为重要参数，每一项负偏离或缺漏扣10分；</w:t>
            </w:r>
          </w:p>
          <w:p w14:paraId="0CD79A7D">
            <w:pPr>
              <w:jc w:val="left"/>
              <w:rPr>
                <w:rFonts w:hint="eastAsia" w:ascii="仿宋" w:hAnsi="仿宋" w:eastAsia="仿宋" w:cs="仿宋"/>
                <w:sz w:val="24"/>
                <w:szCs w:val="24"/>
              </w:rPr>
            </w:pPr>
            <w:r>
              <w:rPr>
                <w:rFonts w:hint="eastAsia" w:ascii="仿宋" w:hAnsi="仿宋" w:eastAsia="仿宋" w:cs="仿宋"/>
                <w:sz w:val="24"/>
                <w:szCs w:val="24"/>
              </w:rPr>
              <w:t>3、一般技术参数（即非“★”非“▲”号参数）存在负偏离，每条负偏离扣6分。</w:t>
            </w:r>
          </w:p>
          <w:p w14:paraId="7E0B1D0B">
            <w:pPr>
              <w:pStyle w:val="2"/>
              <w:keepNext/>
              <w:keepLines/>
              <w:pageBreakBefore w:val="0"/>
              <w:widowControl w:val="0"/>
              <w:kinsoku/>
              <w:wordWrap/>
              <w:overflowPunct/>
              <w:topLinePunct w:val="0"/>
              <w:autoSpaceDE/>
              <w:autoSpaceDN/>
              <w:bidi w:val="0"/>
              <w:adjustRightInd w:val="0"/>
              <w:snapToGrid/>
              <w:spacing w:before="0" w:after="0" w:line="240" w:lineRule="auto"/>
              <w:textAlignment w:val="baseline"/>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4、标注“</w:t>
            </w:r>
            <w:r>
              <w:rPr>
                <w:rFonts w:hint="eastAsia" w:ascii="仿宋" w:hAnsi="仿宋" w:eastAsia="仿宋" w:cs="仿宋"/>
                <w:sz w:val="24"/>
                <w:szCs w:val="24"/>
              </w:rPr>
              <w:t>★</w:t>
            </w:r>
            <w:r>
              <w:rPr>
                <w:rFonts w:hint="eastAsia" w:ascii="仿宋" w:hAnsi="仿宋" w:eastAsia="仿宋" w:cs="仿宋"/>
                <w:b w:val="0"/>
                <w:kern w:val="2"/>
                <w:sz w:val="24"/>
                <w:szCs w:val="24"/>
                <w:lang w:val="en-US" w:eastAsia="zh-CN" w:bidi="ar-SA"/>
              </w:rPr>
              <w:t>”的参数为实质性条款，任意一条负偏离则视为无效投标。</w:t>
            </w:r>
          </w:p>
          <w:p w14:paraId="7055BCD9">
            <w:pPr>
              <w:jc w:val="left"/>
              <w:rPr>
                <w:rFonts w:hint="eastAsia" w:ascii="仿宋" w:hAnsi="仿宋" w:eastAsia="仿宋" w:cs="仿宋"/>
                <w:sz w:val="24"/>
                <w:szCs w:val="24"/>
              </w:rPr>
            </w:pPr>
            <w:r>
              <w:rPr>
                <w:rFonts w:hint="eastAsia" w:ascii="仿宋" w:hAnsi="仿宋" w:eastAsia="仿宋" w:cs="仿宋"/>
                <w:sz w:val="24"/>
                <w:szCs w:val="24"/>
              </w:rPr>
              <w:t>（注：标注“▲”技术参数以及技术规格中要求该项参数提供有关证明文件的一般参数，投标人应提供证明材料，包括但不限于技术白皮书、产品彩页、检测报告等形式。如无相关证明文件或相关证明文件不完整，则按相应负偏离计算；此项只做评分因素，不做废标条件）</w:t>
            </w:r>
          </w:p>
        </w:tc>
      </w:tr>
    </w:tbl>
    <w:p w14:paraId="523BA3D2">
      <w:pPr>
        <w:jc w:val="center"/>
        <w:rPr>
          <w:rFonts w:hint="eastAsia" w:ascii="仿宋" w:hAnsi="仿宋" w:eastAsia="仿宋" w:cs="仿宋"/>
          <w:sz w:val="24"/>
          <w:szCs w:val="24"/>
        </w:rPr>
      </w:pPr>
    </w:p>
    <w:p w14:paraId="44449688">
      <w:pPr>
        <w:jc w:val="center"/>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附表1.3商务部分评审标准表</w:t>
      </w:r>
    </w:p>
    <w:tbl>
      <w:tblPr>
        <w:tblStyle w:val="10"/>
        <w:tblW w:w="89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877"/>
        <w:gridCol w:w="1377"/>
        <w:gridCol w:w="709"/>
        <w:gridCol w:w="4519"/>
      </w:tblGrid>
      <w:tr w14:paraId="2AFA90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3" w:type="dxa"/>
            <w:tcBorders>
              <w:tl2br w:val="nil"/>
              <w:tr2bl w:val="nil"/>
            </w:tcBorders>
            <w:noWrap w:val="0"/>
            <w:vAlign w:val="center"/>
          </w:tcPr>
          <w:p w14:paraId="4FAA5EC1">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77" w:type="dxa"/>
            <w:tcBorders>
              <w:tl2br w:val="nil"/>
              <w:tr2bl w:val="nil"/>
            </w:tcBorders>
            <w:noWrap w:val="0"/>
            <w:vAlign w:val="center"/>
          </w:tcPr>
          <w:p w14:paraId="0113CA81">
            <w:pPr>
              <w:jc w:val="center"/>
              <w:rPr>
                <w:rFonts w:hint="eastAsia" w:ascii="仿宋" w:hAnsi="仿宋" w:eastAsia="仿宋" w:cs="仿宋"/>
                <w:sz w:val="24"/>
                <w:szCs w:val="24"/>
              </w:rPr>
            </w:pPr>
            <w:r>
              <w:rPr>
                <w:rFonts w:hint="eastAsia" w:ascii="仿宋" w:hAnsi="仿宋" w:eastAsia="仿宋" w:cs="仿宋"/>
                <w:sz w:val="24"/>
                <w:szCs w:val="24"/>
              </w:rPr>
              <w:t>评标因素（分值）</w:t>
            </w:r>
          </w:p>
        </w:tc>
        <w:tc>
          <w:tcPr>
            <w:tcW w:w="6605" w:type="dxa"/>
            <w:gridSpan w:val="3"/>
            <w:tcBorders>
              <w:tl2br w:val="nil"/>
              <w:tr2bl w:val="nil"/>
            </w:tcBorders>
            <w:noWrap w:val="0"/>
            <w:vAlign w:val="center"/>
          </w:tcPr>
          <w:p w14:paraId="7286AA18">
            <w:pPr>
              <w:jc w:val="center"/>
              <w:rPr>
                <w:rFonts w:hint="eastAsia" w:ascii="仿宋" w:hAnsi="仿宋" w:eastAsia="仿宋" w:cs="仿宋"/>
                <w:sz w:val="24"/>
                <w:szCs w:val="24"/>
              </w:rPr>
            </w:pPr>
            <w:r>
              <w:rPr>
                <w:rFonts w:hint="eastAsia" w:ascii="仿宋" w:hAnsi="仿宋" w:eastAsia="仿宋" w:cs="仿宋"/>
                <w:sz w:val="24"/>
                <w:szCs w:val="24"/>
              </w:rPr>
              <w:t>评标标准</w:t>
            </w:r>
          </w:p>
        </w:tc>
      </w:tr>
      <w:tr w14:paraId="38E5C2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dxa"/>
            <w:vMerge w:val="restart"/>
            <w:tcBorders>
              <w:tl2br w:val="nil"/>
              <w:tr2bl w:val="nil"/>
            </w:tcBorders>
            <w:noWrap w:val="0"/>
            <w:vAlign w:val="center"/>
          </w:tcPr>
          <w:p w14:paraId="1F869E5F">
            <w:pPr>
              <w:jc w:val="center"/>
              <w:rPr>
                <w:rFonts w:hint="eastAsia" w:ascii="仿宋" w:hAnsi="仿宋" w:eastAsia="仿宋" w:cs="仿宋"/>
                <w:sz w:val="24"/>
                <w:szCs w:val="24"/>
              </w:rPr>
            </w:pPr>
            <w:r>
              <w:rPr>
                <w:rFonts w:hint="eastAsia" w:ascii="仿宋" w:hAnsi="仿宋" w:eastAsia="仿宋" w:cs="仿宋"/>
                <w:sz w:val="24"/>
                <w:szCs w:val="24"/>
              </w:rPr>
              <w:t>1</w:t>
            </w:r>
          </w:p>
        </w:tc>
        <w:tc>
          <w:tcPr>
            <w:tcW w:w="1877" w:type="dxa"/>
            <w:vMerge w:val="restart"/>
            <w:tcBorders>
              <w:tl2br w:val="nil"/>
              <w:tr2bl w:val="nil"/>
            </w:tcBorders>
            <w:noWrap w:val="0"/>
            <w:vAlign w:val="center"/>
          </w:tcPr>
          <w:p w14:paraId="05A61FC6">
            <w:pPr>
              <w:jc w:val="center"/>
              <w:rPr>
                <w:rFonts w:hint="eastAsia" w:ascii="仿宋" w:hAnsi="仿宋" w:eastAsia="仿宋" w:cs="仿宋"/>
                <w:sz w:val="24"/>
                <w:szCs w:val="24"/>
              </w:rPr>
            </w:pPr>
            <w:r>
              <w:rPr>
                <w:rFonts w:hint="eastAsia" w:ascii="仿宋" w:hAnsi="仿宋" w:eastAsia="仿宋" w:cs="仿宋"/>
                <w:sz w:val="24"/>
                <w:szCs w:val="24"/>
              </w:rPr>
              <w:t>商务评价项</w:t>
            </w:r>
          </w:p>
          <w:p w14:paraId="36C83338">
            <w:pPr>
              <w:jc w:val="center"/>
              <w:rPr>
                <w:rFonts w:hint="eastAsia" w:ascii="仿宋" w:hAnsi="仿宋" w:eastAsia="仿宋" w:cs="仿宋"/>
                <w:sz w:val="24"/>
                <w:szCs w:val="24"/>
              </w:rPr>
            </w:pPr>
            <w:r>
              <w:rPr>
                <w:rFonts w:hint="eastAsia" w:ascii="仿宋" w:hAnsi="仿宋" w:eastAsia="仿宋" w:cs="仿宋"/>
                <w:sz w:val="24"/>
                <w:szCs w:val="24"/>
              </w:rPr>
              <w:t>（F=100分）</w:t>
            </w:r>
          </w:p>
        </w:tc>
        <w:tc>
          <w:tcPr>
            <w:tcW w:w="1377" w:type="dxa"/>
            <w:tcBorders>
              <w:tl2br w:val="nil"/>
              <w:tr2bl w:val="nil"/>
            </w:tcBorders>
            <w:noWrap w:val="0"/>
            <w:vAlign w:val="center"/>
          </w:tcPr>
          <w:p w14:paraId="43F9E75B">
            <w:pPr>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709" w:type="dxa"/>
            <w:tcBorders>
              <w:tl2br w:val="nil"/>
              <w:tr2bl w:val="nil"/>
            </w:tcBorders>
            <w:noWrap w:val="0"/>
            <w:vAlign w:val="center"/>
          </w:tcPr>
          <w:p w14:paraId="4605040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w:t>
            </w:r>
          </w:p>
        </w:tc>
        <w:tc>
          <w:tcPr>
            <w:tcW w:w="4519" w:type="dxa"/>
            <w:tcBorders>
              <w:tl2br w:val="nil"/>
              <w:tr2bl w:val="nil"/>
            </w:tcBorders>
            <w:noWrap w:val="0"/>
            <w:vAlign w:val="center"/>
          </w:tcPr>
          <w:p w14:paraId="4C14F0A6">
            <w:pPr>
              <w:jc w:val="left"/>
              <w:rPr>
                <w:rFonts w:hint="eastAsia" w:ascii="仿宋" w:hAnsi="仿宋" w:eastAsia="仿宋" w:cs="仿宋"/>
                <w:color w:val="FF0000"/>
                <w:sz w:val="24"/>
                <w:szCs w:val="24"/>
                <w:lang w:val="en-US" w:eastAsia="zh-CN"/>
              </w:rPr>
            </w:pPr>
            <w:r>
              <w:rPr>
                <w:rFonts w:hint="eastAsia" w:ascii="仿宋" w:hAnsi="仿宋" w:eastAsia="仿宋" w:cs="仿宋"/>
                <w:sz w:val="24"/>
                <w:szCs w:val="24"/>
              </w:rPr>
              <w:t>1、</w:t>
            </w:r>
            <w:r>
              <w:rPr>
                <w:rFonts w:hint="eastAsia" w:ascii="仿宋" w:hAnsi="仿宋" w:eastAsia="仿宋" w:cs="仿宋"/>
                <w:color w:val="FF0000"/>
                <w:sz w:val="24"/>
                <w:szCs w:val="24"/>
                <w:lang w:val="en-US" w:eastAsia="zh-CN"/>
              </w:rPr>
              <w:t>针对本项目有明确的售后服务方案，包括但不限于：①设备配送、安装、检验等；②发生故障后的补救措施及巡检服务；③售后服务维修人员详细情况；④维修的响应时间；⑤备品配件的清单及供应保障措施。</w:t>
            </w:r>
          </w:p>
          <w:p w14:paraId="5A737568">
            <w:pPr>
              <w:jc w:val="left"/>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上述小项方案具有针对性和可行性，符合采购实际需求，内容完整合理满足招标文件要求的每项得7分。存在一般缺陷的每项方案得3.5分（一般缺陷是指方案内容前后不一致或前后逻辑错误或内容有缺失，不影响项目的实施）。未提供或存在重大缺陷的每项方案不得分（重大缺陷是指方案凭空编造或与采购项目和采购需求无关，无法指导项目实施）。</w:t>
            </w:r>
          </w:p>
          <w:p w14:paraId="51E3BA4F">
            <w:pPr>
              <w:jc w:val="left"/>
              <w:rPr>
                <w:rFonts w:hint="eastAsia" w:ascii="仿宋" w:hAnsi="仿宋" w:eastAsia="仿宋" w:cs="仿宋"/>
                <w:sz w:val="24"/>
                <w:szCs w:val="24"/>
              </w:rPr>
            </w:pPr>
            <w:r>
              <w:rPr>
                <w:rFonts w:hint="eastAsia" w:ascii="仿宋" w:hAnsi="仿宋" w:eastAsia="仿宋" w:cs="仿宋"/>
                <w:sz w:val="24"/>
                <w:szCs w:val="24"/>
              </w:rPr>
              <w:t>2、质保期在招标要求基础上再增加1年的加10分，增加2年以上的加20分，最高可加20分。</w:t>
            </w:r>
          </w:p>
        </w:tc>
      </w:tr>
      <w:tr w14:paraId="26EED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3" w:type="dxa"/>
            <w:vMerge w:val="continue"/>
            <w:tcBorders>
              <w:tl2br w:val="nil"/>
              <w:tr2bl w:val="nil"/>
            </w:tcBorders>
            <w:noWrap w:val="0"/>
            <w:vAlign w:val="center"/>
          </w:tcPr>
          <w:p w14:paraId="38305688">
            <w:pPr>
              <w:jc w:val="center"/>
              <w:rPr>
                <w:rFonts w:hint="eastAsia" w:ascii="仿宋" w:hAnsi="仿宋" w:eastAsia="仿宋" w:cs="仿宋"/>
                <w:sz w:val="24"/>
                <w:szCs w:val="24"/>
              </w:rPr>
            </w:pPr>
          </w:p>
        </w:tc>
        <w:tc>
          <w:tcPr>
            <w:tcW w:w="1877" w:type="dxa"/>
            <w:vMerge w:val="continue"/>
            <w:tcBorders>
              <w:tl2br w:val="nil"/>
              <w:tr2bl w:val="nil"/>
            </w:tcBorders>
            <w:noWrap w:val="0"/>
            <w:vAlign w:val="center"/>
          </w:tcPr>
          <w:p w14:paraId="2C8BFC02">
            <w:pPr>
              <w:jc w:val="center"/>
              <w:rPr>
                <w:rFonts w:hint="eastAsia" w:ascii="仿宋" w:hAnsi="仿宋" w:eastAsia="仿宋" w:cs="仿宋"/>
                <w:sz w:val="24"/>
                <w:szCs w:val="24"/>
              </w:rPr>
            </w:pPr>
          </w:p>
        </w:tc>
        <w:tc>
          <w:tcPr>
            <w:tcW w:w="1377" w:type="dxa"/>
            <w:tcBorders>
              <w:tl2br w:val="nil"/>
              <w:tr2bl w:val="nil"/>
            </w:tcBorders>
            <w:noWrap w:val="0"/>
            <w:vAlign w:val="center"/>
          </w:tcPr>
          <w:p w14:paraId="1EECC22E">
            <w:pPr>
              <w:jc w:val="center"/>
              <w:rPr>
                <w:rFonts w:hint="eastAsia" w:ascii="仿宋" w:hAnsi="仿宋" w:eastAsia="仿宋" w:cs="仿宋"/>
                <w:sz w:val="24"/>
                <w:szCs w:val="24"/>
              </w:rPr>
            </w:pPr>
            <w:r>
              <w:rPr>
                <w:rFonts w:hint="eastAsia" w:ascii="仿宋" w:hAnsi="仿宋" w:eastAsia="仿宋" w:cs="仿宋"/>
                <w:sz w:val="24"/>
                <w:szCs w:val="24"/>
              </w:rPr>
              <w:t>培训方案</w:t>
            </w:r>
          </w:p>
        </w:tc>
        <w:tc>
          <w:tcPr>
            <w:tcW w:w="709" w:type="dxa"/>
            <w:tcBorders>
              <w:tl2br w:val="nil"/>
              <w:tr2bl w:val="nil"/>
            </w:tcBorders>
            <w:noWrap w:val="0"/>
            <w:vAlign w:val="center"/>
          </w:tcPr>
          <w:p w14:paraId="4BF791B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4519" w:type="dxa"/>
            <w:tcBorders>
              <w:tl2br w:val="nil"/>
              <w:tr2bl w:val="nil"/>
            </w:tcBorders>
            <w:noWrap w:val="0"/>
            <w:vAlign w:val="center"/>
          </w:tcPr>
          <w:p w14:paraId="1A280959">
            <w:pPr>
              <w:jc w:val="left"/>
              <w:rPr>
                <w:rFonts w:hint="eastAsia" w:ascii="仿宋" w:hAnsi="仿宋" w:eastAsia="仿宋" w:cs="仿宋"/>
                <w:color w:val="FF0000"/>
                <w:sz w:val="24"/>
                <w:szCs w:val="24"/>
              </w:rPr>
            </w:pPr>
            <w:r>
              <w:rPr>
                <w:rFonts w:hint="eastAsia" w:ascii="仿宋" w:hAnsi="仿宋" w:eastAsia="仿宋" w:cs="仿宋"/>
                <w:color w:val="FF0000"/>
                <w:sz w:val="24"/>
                <w:szCs w:val="24"/>
              </w:rPr>
              <w:t>针对本项目具有可行的技术培训方案，包括但不限于：①所提供设备的原理和技术性能；②操作维护方法；③安装调试、排除故障等各个方面</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fldChar w:fldCharType="begin"/>
            </w:r>
            <w:r>
              <w:rPr>
                <w:rFonts w:hint="eastAsia" w:ascii="仿宋" w:hAnsi="仿宋" w:eastAsia="仿宋" w:cs="仿宋"/>
                <w:color w:val="FF0000"/>
                <w:sz w:val="24"/>
                <w:szCs w:val="24"/>
              </w:rPr>
              <w:instrText xml:space="preserve"> = 4 \* GB3 \* MERGEFORMAT </w:instrText>
            </w:r>
            <w:r>
              <w:rPr>
                <w:rFonts w:hint="eastAsia" w:ascii="仿宋" w:hAnsi="仿宋" w:eastAsia="仿宋" w:cs="仿宋"/>
                <w:color w:val="FF0000"/>
                <w:sz w:val="24"/>
                <w:szCs w:val="24"/>
              </w:rPr>
              <w:fldChar w:fldCharType="separate"/>
            </w:r>
            <w:r>
              <w:rPr>
                <w:rFonts w:hint="eastAsia" w:ascii="仿宋" w:hAnsi="仿宋" w:eastAsia="仿宋" w:cs="仿宋"/>
                <w:color w:val="FF0000"/>
                <w:sz w:val="24"/>
                <w:szCs w:val="24"/>
              </w:rPr>
              <w:t>④</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培训</w:t>
            </w:r>
            <w:r>
              <w:rPr>
                <w:rFonts w:hint="eastAsia" w:ascii="仿宋" w:hAnsi="仿宋" w:eastAsia="仿宋" w:cs="仿宋"/>
                <w:color w:val="FF0000"/>
                <w:sz w:val="24"/>
                <w:szCs w:val="24"/>
                <w:lang w:eastAsia="zh-CN"/>
              </w:rPr>
              <w:t>计划安排</w:t>
            </w:r>
            <w:r>
              <w:rPr>
                <w:rFonts w:hint="eastAsia" w:ascii="仿宋" w:hAnsi="仿宋" w:eastAsia="仿宋" w:cs="仿宋"/>
                <w:color w:val="FF0000"/>
                <w:sz w:val="24"/>
                <w:szCs w:val="24"/>
              </w:rPr>
              <w:t>；</w:t>
            </w:r>
            <w:r>
              <w:rPr>
                <w:rFonts w:hint="eastAsia" w:ascii="仿宋" w:hAnsi="仿宋" w:eastAsia="仿宋" w:cs="仿宋"/>
                <w:color w:val="FF0000"/>
                <w:sz w:val="24"/>
                <w:szCs w:val="24"/>
              </w:rPr>
              <w:fldChar w:fldCharType="begin"/>
            </w:r>
            <w:r>
              <w:rPr>
                <w:rFonts w:hint="eastAsia" w:ascii="仿宋" w:hAnsi="仿宋" w:eastAsia="仿宋" w:cs="仿宋"/>
                <w:color w:val="FF0000"/>
                <w:sz w:val="24"/>
                <w:szCs w:val="24"/>
              </w:rPr>
              <w:instrText xml:space="preserve"> = 5 \* GB3 \* MERGEFORMAT </w:instrText>
            </w:r>
            <w:r>
              <w:rPr>
                <w:rFonts w:hint="eastAsia" w:ascii="仿宋" w:hAnsi="仿宋" w:eastAsia="仿宋" w:cs="仿宋"/>
                <w:color w:val="FF0000"/>
                <w:sz w:val="24"/>
                <w:szCs w:val="24"/>
              </w:rPr>
              <w:fldChar w:fldCharType="separate"/>
            </w:r>
            <w:r>
              <w:rPr>
                <w:rFonts w:hint="eastAsia" w:ascii="仿宋" w:hAnsi="仿宋" w:eastAsia="仿宋" w:cs="仿宋"/>
                <w:color w:val="FF0000"/>
                <w:sz w:val="24"/>
                <w:szCs w:val="24"/>
              </w:rPr>
              <w:t>⑤</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lang w:eastAsia="zh-CN"/>
              </w:rPr>
              <w:t>培训效果</w:t>
            </w:r>
            <w:r>
              <w:rPr>
                <w:rFonts w:hint="eastAsia" w:ascii="仿宋" w:hAnsi="仿宋" w:eastAsia="仿宋" w:cs="仿宋"/>
                <w:color w:val="FF0000"/>
                <w:sz w:val="24"/>
                <w:szCs w:val="24"/>
              </w:rPr>
              <w:t>等。</w:t>
            </w:r>
          </w:p>
          <w:p w14:paraId="2C91FE55">
            <w:pPr>
              <w:jc w:val="left"/>
              <w:rPr>
                <w:rFonts w:hint="eastAsia" w:ascii="仿宋" w:hAnsi="仿宋" w:eastAsia="仿宋" w:cs="仿宋"/>
                <w:sz w:val="24"/>
                <w:szCs w:val="24"/>
              </w:rPr>
            </w:pPr>
            <w:r>
              <w:rPr>
                <w:rFonts w:hint="eastAsia" w:ascii="仿宋" w:hAnsi="仿宋" w:eastAsia="仿宋" w:cs="仿宋"/>
                <w:color w:val="FF0000"/>
                <w:sz w:val="24"/>
                <w:szCs w:val="24"/>
                <w:lang w:val="en-US" w:eastAsia="zh-CN"/>
              </w:rPr>
              <w:t>上述小项方案具有针对性和可行性，符合采购实际需求，内容完整合理满足招标文件要求的每项得3分。存在一般缺陷的每项方案得1.5分（一般缺陷是指方案内容前后不一致或前后逻辑错误或内容有缺失，不影响项目的实施）。未提供或存在重大缺陷的每项方案不得分（重大缺陷是指方案凭空编造或与采购项目和采购需求无关，无法指导项目实施）。</w:t>
            </w:r>
          </w:p>
        </w:tc>
      </w:tr>
      <w:tr w14:paraId="432DEB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jc w:val="center"/>
        </w:trPr>
        <w:tc>
          <w:tcPr>
            <w:tcW w:w="503" w:type="dxa"/>
            <w:vMerge w:val="continue"/>
            <w:tcBorders>
              <w:tl2br w:val="nil"/>
              <w:tr2bl w:val="nil"/>
            </w:tcBorders>
            <w:noWrap w:val="0"/>
            <w:vAlign w:val="center"/>
          </w:tcPr>
          <w:p w14:paraId="44D8C28A">
            <w:pPr>
              <w:jc w:val="center"/>
              <w:rPr>
                <w:rFonts w:hint="eastAsia" w:ascii="仿宋" w:hAnsi="仿宋" w:eastAsia="仿宋" w:cs="仿宋"/>
                <w:sz w:val="24"/>
                <w:szCs w:val="24"/>
              </w:rPr>
            </w:pPr>
          </w:p>
        </w:tc>
        <w:tc>
          <w:tcPr>
            <w:tcW w:w="1877" w:type="dxa"/>
            <w:vMerge w:val="continue"/>
            <w:tcBorders>
              <w:tl2br w:val="nil"/>
              <w:tr2bl w:val="nil"/>
            </w:tcBorders>
            <w:noWrap w:val="0"/>
            <w:vAlign w:val="center"/>
          </w:tcPr>
          <w:p w14:paraId="4E96D9C5">
            <w:pPr>
              <w:jc w:val="center"/>
              <w:rPr>
                <w:rFonts w:hint="eastAsia" w:ascii="仿宋" w:hAnsi="仿宋" w:eastAsia="仿宋" w:cs="仿宋"/>
                <w:sz w:val="24"/>
                <w:szCs w:val="24"/>
              </w:rPr>
            </w:pPr>
          </w:p>
        </w:tc>
        <w:tc>
          <w:tcPr>
            <w:tcW w:w="1377" w:type="dxa"/>
            <w:tcBorders>
              <w:tl2br w:val="nil"/>
              <w:tr2bl w:val="nil"/>
            </w:tcBorders>
            <w:noWrap w:val="0"/>
            <w:vAlign w:val="center"/>
          </w:tcPr>
          <w:p w14:paraId="40DDE5FA">
            <w:pPr>
              <w:jc w:val="center"/>
              <w:rPr>
                <w:rFonts w:hint="eastAsia" w:ascii="仿宋" w:hAnsi="仿宋" w:eastAsia="仿宋" w:cs="仿宋"/>
                <w:sz w:val="24"/>
                <w:szCs w:val="24"/>
              </w:rPr>
            </w:pPr>
            <w:r>
              <w:rPr>
                <w:rFonts w:hint="eastAsia" w:ascii="仿宋" w:hAnsi="仿宋" w:eastAsia="仿宋" w:cs="仿宋"/>
                <w:sz w:val="24"/>
                <w:szCs w:val="24"/>
              </w:rPr>
              <w:t>类似业绩</w:t>
            </w:r>
          </w:p>
        </w:tc>
        <w:tc>
          <w:tcPr>
            <w:tcW w:w="709" w:type="dxa"/>
            <w:tcBorders>
              <w:tl2br w:val="nil"/>
              <w:tr2bl w:val="nil"/>
            </w:tcBorders>
            <w:noWrap w:val="0"/>
            <w:vAlign w:val="center"/>
          </w:tcPr>
          <w:p w14:paraId="505C34E4">
            <w:pPr>
              <w:jc w:val="center"/>
              <w:rPr>
                <w:rFonts w:hint="eastAsia" w:ascii="仿宋" w:hAnsi="仿宋" w:eastAsia="仿宋" w:cs="仿宋"/>
                <w:sz w:val="24"/>
                <w:szCs w:val="24"/>
              </w:rPr>
            </w:pPr>
            <w:r>
              <w:rPr>
                <w:rFonts w:hint="eastAsia" w:ascii="仿宋" w:hAnsi="仿宋" w:eastAsia="仿宋" w:cs="仿宋"/>
                <w:sz w:val="24"/>
                <w:szCs w:val="24"/>
              </w:rPr>
              <w:t>30</w:t>
            </w:r>
          </w:p>
        </w:tc>
        <w:tc>
          <w:tcPr>
            <w:tcW w:w="4519" w:type="dxa"/>
            <w:tcBorders>
              <w:tl2br w:val="nil"/>
              <w:tr2bl w:val="nil"/>
            </w:tcBorders>
            <w:noWrap w:val="0"/>
            <w:vAlign w:val="center"/>
          </w:tcPr>
          <w:p w14:paraId="6C0D023C">
            <w:pPr>
              <w:jc w:val="left"/>
              <w:rPr>
                <w:rFonts w:hint="eastAsia" w:ascii="仿宋" w:hAnsi="仿宋" w:eastAsia="仿宋" w:cs="仿宋"/>
                <w:sz w:val="24"/>
                <w:szCs w:val="24"/>
              </w:rPr>
            </w:pPr>
            <w:r>
              <w:rPr>
                <w:rFonts w:hint="eastAsia" w:ascii="仿宋" w:hAnsi="仿宋" w:eastAsia="仿宋" w:cs="仿宋"/>
                <w:sz w:val="24"/>
                <w:szCs w:val="24"/>
              </w:rPr>
              <w:t>提供近两年以来同型号设备销售业绩证明材料（证明材料可以是中标通知书或中标公示截图或合同相关页面，且证明材料要体现中标设备的型号），每提供一份计1</w:t>
            </w:r>
            <w:r>
              <w:rPr>
                <w:rFonts w:hint="eastAsia" w:ascii="仿宋" w:hAnsi="仿宋" w:eastAsia="仿宋" w:cs="仿宋"/>
                <w:sz w:val="24"/>
                <w:szCs w:val="24"/>
                <w:lang w:val="en-US" w:eastAsia="zh-CN"/>
              </w:rPr>
              <w:t>5</w:t>
            </w:r>
            <w:r>
              <w:rPr>
                <w:rFonts w:hint="eastAsia" w:ascii="仿宋" w:hAnsi="仿宋" w:eastAsia="仿宋" w:cs="仿宋"/>
                <w:sz w:val="24"/>
                <w:szCs w:val="24"/>
              </w:rPr>
              <w:t>分，计满30分为止，未按要求提供不得分。</w:t>
            </w:r>
          </w:p>
        </w:tc>
      </w:tr>
    </w:tbl>
    <w:p w14:paraId="72866AD4">
      <w:pPr>
        <w:rPr>
          <w:color w:val="auto"/>
        </w:rPr>
      </w:pPr>
      <w:r>
        <w:rPr>
          <w:color w:val="auto"/>
        </w:rPr>
        <w:br w:type="page"/>
      </w:r>
    </w:p>
    <w:p w14:paraId="294A5165">
      <w:pPr>
        <w:pStyle w:val="2"/>
        <w:numPr>
          <w:ilvl w:val="0"/>
          <w:numId w:val="3"/>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14:paraId="27169976">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6CBF91">
      <w:pPr>
        <w:rPr>
          <w:rFonts w:hint="eastAsia" w:ascii="宋体" w:hAnsi="宋体" w:cs="宋体"/>
          <w:color w:val="auto"/>
        </w:rPr>
      </w:pPr>
    </w:p>
    <w:bookmarkEnd w:id="2"/>
    <w:p w14:paraId="08D4C590">
      <w:pPr>
        <w:rPr>
          <w:rFonts w:hint="eastAsia"/>
          <w:color w:val="auto"/>
        </w:rPr>
      </w:pPr>
    </w:p>
    <w:p w14:paraId="4D0960B7">
      <w:pPr>
        <w:jc w:val="center"/>
        <w:rPr>
          <w:b/>
          <w:color w:val="auto"/>
          <w:sz w:val="24"/>
        </w:rPr>
      </w:pPr>
      <w:r>
        <w:rPr>
          <w:b/>
          <w:color w:val="auto"/>
          <w:sz w:val="28"/>
          <w:szCs w:val="28"/>
        </w:rPr>
        <w:t>第一部分、开标一览表</w:t>
      </w:r>
    </w:p>
    <w:p w14:paraId="62657D8A">
      <w:pPr>
        <w:jc w:val="center"/>
        <w:rPr>
          <w:b/>
          <w:color w:val="auto"/>
          <w:sz w:val="24"/>
        </w:rPr>
      </w:pPr>
    </w:p>
    <w:p w14:paraId="3A11B7F8">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436237B">
      <w:pPr>
        <w:pStyle w:val="16"/>
        <w:rPr>
          <w:color w:val="auto"/>
        </w:rPr>
      </w:pPr>
    </w:p>
    <w:p w14:paraId="268DC177">
      <w:pPr>
        <w:adjustRightInd w:val="0"/>
        <w:snapToGrid w:val="0"/>
        <w:spacing w:line="360" w:lineRule="auto"/>
        <w:jc w:val="center"/>
        <w:rPr>
          <w:rFonts w:hint="eastAsia" w:ascii="宋体" w:hAnsi="宋体" w:cs="宋体"/>
          <w:b/>
          <w:color w:val="auto"/>
          <w:sz w:val="28"/>
          <w:szCs w:val="28"/>
        </w:rPr>
      </w:pPr>
    </w:p>
    <w:p w14:paraId="4A8DC8E8">
      <w:pPr>
        <w:adjustRightInd w:val="0"/>
        <w:snapToGrid w:val="0"/>
        <w:spacing w:line="360" w:lineRule="auto"/>
        <w:jc w:val="center"/>
        <w:rPr>
          <w:rFonts w:hint="eastAsia" w:ascii="宋体" w:hAnsi="宋体" w:cs="宋体"/>
          <w:b/>
          <w:color w:val="auto"/>
          <w:sz w:val="28"/>
          <w:szCs w:val="28"/>
        </w:rPr>
      </w:pPr>
    </w:p>
    <w:p w14:paraId="07F41EB6">
      <w:pPr>
        <w:adjustRightInd w:val="0"/>
        <w:snapToGrid w:val="0"/>
        <w:spacing w:line="360" w:lineRule="auto"/>
        <w:jc w:val="center"/>
        <w:rPr>
          <w:rFonts w:hint="eastAsia" w:ascii="宋体" w:hAnsi="宋体" w:cs="宋体"/>
          <w:b/>
          <w:color w:val="auto"/>
          <w:sz w:val="28"/>
          <w:szCs w:val="28"/>
        </w:rPr>
      </w:pPr>
    </w:p>
    <w:p w14:paraId="5F3BE2EA">
      <w:pPr>
        <w:adjustRightInd w:val="0"/>
        <w:snapToGrid w:val="0"/>
        <w:spacing w:line="360" w:lineRule="auto"/>
        <w:jc w:val="center"/>
        <w:rPr>
          <w:rFonts w:hint="eastAsia" w:ascii="宋体" w:hAnsi="宋体" w:cs="宋体"/>
          <w:b/>
          <w:color w:val="auto"/>
          <w:sz w:val="28"/>
          <w:szCs w:val="28"/>
        </w:rPr>
      </w:pPr>
    </w:p>
    <w:p w14:paraId="4267E2D0">
      <w:pPr>
        <w:adjustRightInd w:val="0"/>
        <w:snapToGrid w:val="0"/>
        <w:spacing w:line="360" w:lineRule="auto"/>
        <w:jc w:val="center"/>
        <w:rPr>
          <w:rFonts w:hint="eastAsia" w:ascii="宋体" w:hAnsi="宋体" w:cs="宋体"/>
          <w:b/>
          <w:color w:val="auto"/>
          <w:sz w:val="28"/>
          <w:szCs w:val="28"/>
        </w:rPr>
      </w:pPr>
    </w:p>
    <w:p w14:paraId="5F1C5418">
      <w:pPr>
        <w:adjustRightInd w:val="0"/>
        <w:snapToGrid w:val="0"/>
        <w:spacing w:line="360" w:lineRule="auto"/>
        <w:jc w:val="center"/>
        <w:rPr>
          <w:rFonts w:hint="eastAsia" w:ascii="宋体" w:hAnsi="宋体" w:cs="宋体"/>
          <w:b/>
          <w:color w:val="auto"/>
          <w:sz w:val="28"/>
          <w:szCs w:val="28"/>
        </w:rPr>
      </w:pPr>
    </w:p>
    <w:p w14:paraId="040D6C03">
      <w:pPr>
        <w:adjustRightInd w:val="0"/>
        <w:snapToGrid w:val="0"/>
        <w:spacing w:line="360" w:lineRule="auto"/>
        <w:jc w:val="center"/>
        <w:rPr>
          <w:rFonts w:hint="eastAsia" w:ascii="宋体" w:hAnsi="宋体" w:cs="宋体"/>
          <w:b/>
          <w:color w:val="auto"/>
          <w:sz w:val="28"/>
          <w:szCs w:val="28"/>
        </w:rPr>
      </w:pPr>
    </w:p>
    <w:p w14:paraId="13B7AA99">
      <w:pPr>
        <w:adjustRightInd w:val="0"/>
        <w:snapToGrid w:val="0"/>
        <w:spacing w:line="360" w:lineRule="auto"/>
        <w:jc w:val="center"/>
        <w:rPr>
          <w:rFonts w:hint="eastAsia" w:ascii="宋体" w:hAnsi="宋体" w:cs="宋体"/>
          <w:b/>
          <w:color w:val="auto"/>
          <w:sz w:val="28"/>
          <w:szCs w:val="28"/>
        </w:rPr>
      </w:pPr>
    </w:p>
    <w:p w14:paraId="4EABC2AA">
      <w:pPr>
        <w:adjustRightInd w:val="0"/>
        <w:snapToGrid w:val="0"/>
        <w:spacing w:line="360" w:lineRule="auto"/>
        <w:jc w:val="center"/>
        <w:rPr>
          <w:rFonts w:hint="eastAsia" w:ascii="宋体" w:hAnsi="宋体" w:cs="宋体"/>
          <w:b/>
          <w:color w:val="auto"/>
          <w:sz w:val="28"/>
          <w:szCs w:val="28"/>
        </w:rPr>
      </w:pPr>
    </w:p>
    <w:p w14:paraId="50BA3C00">
      <w:pPr>
        <w:adjustRightInd w:val="0"/>
        <w:snapToGrid w:val="0"/>
        <w:spacing w:line="360" w:lineRule="auto"/>
        <w:jc w:val="center"/>
        <w:rPr>
          <w:rFonts w:hint="eastAsia" w:ascii="宋体" w:hAnsi="宋体" w:cs="宋体"/>
          <w:b/>
          <w:color w:val="auto"/>
          <w:sz w:val="28"/>
          <w:szCs w:val="28"/>
        </w:rPr>
      </w:pPr>
    </w:p>
    <w:p w14:paraId="3F96BEA8">
      <w:pPr>
        <w:adjustRightInd w:val="0"/>
        <w:snapToGrid w:val="0"/>
        <w:spacing w:line="360" w:lineRule="auto"/>
        <w:jc w:val="center"/>
        <w:rPr>
          <w:rFonts w:hint="eastAsia" w:ascii="宋体" w:hAnsi="宋体" w:cs="宋体"/>
          <w:b/>
          <w:color w:val="auto"/>
          <w:sz w:val="28"/>
          <w:szCs w:val="28"/>
        </w:rPr>
      </w:pPr>
    </w:p>
    <w:p w14:paraId="20AAEBC3">
      <w:pPr>
        <w:adjustRightInd w:val="0"/>
        <w:snapToGrid w:val="0"/>
        <w:spacing w:line="360" w:lineRule="auto"/>
        <w:jc w:val="center"/>
        <w:rPr>
          <w:rFonts w:hint="eastAsia" w:ascii="宋体" w:hAnsi="宋体" w:cs="宋体"/>
          <w:b/>
          <w:color w:val="auto"/>
          <w:sz w:val="28"/>
          <w:szCs w:val="28"/>
        </w:rPr>
      </w:pPr>
    </w:p>
    <w:p w14:paraId="4F74D181">
      <w:pPr>
        <w:adjustRightInd w:val="0"/>
        <w:snapToGrid w:val="0"/>
        <w:spacing w:line="360" w:lineRule="auto"/>
        <w:jc w:val="center"/>
        <w:rPr>
          <w:rFonts w:hint="eastAsia" w:ascii="宋体" w:hAnsi="宋体" w:cs="宋体"/>
          <w:b/>
          <w:color w:val="auto"/>
          <w:sz w:val="28"/>
          <w:szCs w:val="28"/>
        </w:rPr>
      </w:pPr>
    </w:p>
    <w:p w14:paraId="228EC2E2">
      <w:pPr>
        <w:adjustRightInd w:val="0"/>
        <w:snapToGrid w:val="0"/>
        <w:spacing w:line="360" w:lineRule="auto"/>
        <w:jc w:val="center"/>
        <w:rPr>
          <w:rFonts w:hint="eastAsia" w:ascii="宋体" w:hAnsi="宋体" w:cs="宋体"/>
          <w:b/>
          <w:color w:val="auto"/>
          <w:sz w:val="28"/>
          <w:szCs w:val="28"/>
        </w:rPr>
      </w:pPr>
    </w:p>
    <w:p w14:paraId="456569A2">
      <w:pPr>
        <w:adjustRightInd w:val="0"/>
        <w:snapToGrid w:val="0"/>
        <w:spacing w:line="360" w:lineRule="auto"/>
        <w:jc w:val="center"/>
        <w:rPr>
          <w:rFonts w:hint="eastAsia" w:ascii="宋体" w:hAnsi="宋体" w:cs="宋体"/>
          <w:b/>
          <w:color w:val="auto"/>
          <w:sz w:val="28"/>
          <w:szCs w:val="28"/>
        </w:rPr>
      </w:pPr>
    </w:p>
    <w:p w14:paraId="2E749D59">
      <w:pPr>
        <w:adjustRightInd w:val="0"/>
        <w:snapToGrid w:val="0"/>
        <w:spacing w:line="360" w:lineRule="auto"/>
        <w:jc w:val="center"/>
        <w:rPr>
          <w:rFonts w:hint="eastAsia" w:ascii="宋体" w:hAnsi="宋体" w:cs="宋体"/>
          <w:b/>
          <w:color w:val="auto"/>
          <w:sz w:val="28"/>
          <w:szCs w:val="28"/>
        </w:rPr>
      </w:pPr>
    </w:p>
    <w:p w14:paraId="0F548034">
      <w:pPr>
        <w:adjustRightInd w:val="0"/>
        <w:snapToGrid w:val="0"/>
        <w:spacing w:line="360" w:lineRule="auto"/>
        <w:jc w:val="center"/>
        <w:rPr>
          <w:rFonts w:hint="eastAsia" w:ascii="宋体" w:hAnsi="宋体" w:cs="宋体"/>
          <w:b/>
          <w:color w:val="auto"/>
          <w:sz w:val="28"/>
          <w:szCs w:val="28"/>
        </w:rPr>
      </w:pPr>
    </w:p>
    <w:p w14:paraId="66416A03">
      <w:pPr>
        <w:adjustRightInd w:val="0"/>
        <w:snapToGrid w:val="0"/>
        <w:spacing w:line="360" w:lineRule="auto"/>
        <w:jc w:val="center"/>
        <w:rPr>
          <w:rFonts w:hint="eastAsia" w:ascii="宋体" w:hAnsi="宋体" w:cs="宋体"/>
          <w:b/>
          <w:color w:val="auto"/>
          <w:sz w:val="28"/>
          <w:szCs w:val="28"/>
        </w:rPr>
      </w:pPr>
    </w:p>
    <w:p w14:paraId="16E73805">
      <w:pPr>
        <w:adjustRightInd w:val="0"/>
        <w:snapToGrid w:val="0"/>
        <w:spacing w:line="360" w:lineRule="auto"/>
        <w:jc w:val="center"/>
        <w:rPr>
          <w:rFonts w:hint="eastAsia" w:ascii="宋体" w:hAnsi="宋体" w:cs="宋体"/>
          <w:b/>
          <w:color w:val="auto"/>
          <w:sz w:val="28"/>
          <w:szCs w:val="28"/>
        </w:rPr>
      </w:pPr>
    </w:p>
    <w:p w14:paraId="014F0BBF">
      <w:pPr>
        <w:adjustRightInd w:val="0"/>
        <w:snapToGrid w:val="0"/>
        <w:spacing w:line="360" w:lineRule="auto"/>
        <w:jc w:val="center"/>
        <w:rPr>
          <w:rFonts w:hint="eastAsia" w:ascii="宋体" w:hAnsi="宋体" w:cs="宋体"/>
          <w:b/>
          <w:color w:val="auto"/>
          <w:sz w:val="28"/>
          <w:szCs w:val="28"/>
        </w:rPr>
      </w:pPr>
    </w:p>
    <w:p w14:paraId="14CE07D0">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43C9A566">
      <w:pPr>
        <w:pStyle w:val="15"/>
        <w:rPr>
          <w:rFonts w:hint="eastAsia"/>
          <w:lang w:eastAsia="zh-CN"/>
        </w:rPr>
      </w:pPr>
    </w:p>
    <w:p w14:paraId="7F35D233">
      <w:pPr>
        <w:adjustRightInd w:val="0"/>
        <w:snapToGrid w:val="0"/>
        <w:spacing w:line="360" w:lineRule="auto"/>
        <w:jc w:val="center"/>
        <w:rPr>
          <w:rFonts w:hint="eastAsia" w:ascii="宋体" w:hAnsi="宋体" w:cs="宋体"/>
          <w:b/>
          <w:color w:val="auto"/>
          <w:sz w:val="24"/>
          <w:szCs w:val="20"/>
        </w:rPr>
      </w:pPr>
    </w:p>
    <w:p w14:paraId="3FAEF57A">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30215D7B">
      <w:pPr>
        <w:adjustRightInd w:val="0"/>
        <w:snapToGrid w:val="0"/>
        <w:spacing w:line="360" w:lineRule="auto"/>
        <w:rPr>
          <w:rFonts w:hint="eastAsia" w:ascii="宋体" w:hAnsi="宋体" w:cs="宋体"/>
          <w:b/>
          <w:color w:val="auto"/>
          <w:sz w:val="28"/>
          <w:szCs w:val="28"/>
        </w:rPr>
      </w:pPr>
    </w:p>
    <w:p w14:paraId="7A47BF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01AF209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6649A44">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65724CC1">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02D956C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8C9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06BE864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22ABCFC3">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5F56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2C8113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24B408DE">
      <w:pPr>
        <w:adjustRightInd w:val="0"/>
        <w:snapToGrid w:val="0"/>
        <w:spacing w:line="360" w:lineRule="auto"/>
        <w:rPr>
          <w:rFonts w:hint="eastAsia" w:ascii="宋体" w:hAnsi="宋体" w:cs="宋体"/>
          <w:color w:val="auto"/>
          <w:sz w:val="24"/>
        </w:rPr>
      </w:pPr>
    </w:p>
    <w:p w14:paraId="490FDD2E">
      <w:pPr>
        <w:adjustRightInd w:val="0"/>
        <w:snapToGrid w:val="0"/>
        <w:spacing w:line="360" w:lineRule="auto"/>
        <w:rPr>
          <w:rFonts w:hint="eastAsia" w:ascii="宋体" w:hAnsi="宋体" w:cs="宋体"/>
          <w:color w:val="auto"/>
          <w:sz w:val="24"/>
        </w:rPr>
      </w:pPr>
    </w:p>
    <w:p w14:paraId="3DC85847">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3253D32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50083CE6">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1E02DCF7">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1C322F7">
      <w:pPr>
        <w:adjustRightInd w:val="0"/>
        <w:snapToGrid w:val="0"/>
        <w:spacing w:line="360" w:lineRule="auto"/>
        <w:rPr>
          <w:rFonts w:hint="eastAsia" w:ascii="宋体" w:hAnsi="宋体" w:cs="宋体"/>
          <w:b/>
          <w:color w:val="auto"/>
          <w:sz w:val="28"/>
          <w:szCs w:val="28"/>
        </w:rPr>
      </w:pPr>
    </w:p>
    <w:p w14:paraId="5896EFCA">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4D26745">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03DC49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49024E88">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19D29FE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22FAA1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C37B98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79ED8E5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785C001">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753EFB40">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5F659F7B">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6D741EA5">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3F3BE636">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01A6943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5314E33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29E81FF3">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5D9F12EB">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3ECCB6">
      <w:pPr>
        <w:adjustRightInd w:val="0"/>
        <w:snapToGrid w:val="0"/>
        <w:spacing w:line="360" w:lineRule="auto"/>
        <w:jc w:val="center"/>
        <w:rPr>
          <w:rFonts w:hint="eastAsia" w:ascii="宋体" w:hAnsi="宋体" w:cs="宋体"/>
          <w:b/>
          <w:color w:val="auto"/>
          <w:sz w:val="24"/>
          <w:szCs w:val="20"/>
        </w:rPr>
      </w:pPr>
    </w:p>
    <w:p w14:paraId="3652377E">
      <w:pPr>
        <w:adjustRightInd w:val="0"/>
        <w:snapToGrid w:val="0"/>
        <w:spacing w:line="360" w:lineRule="auto"/>
        <w:rPr>
          <w:rFonts w:hint="eastAsia" w:ascii="宋体" w:hAnsi="宋体" w:cs="宋体"/>
          <w:b/>
          <w:color w:val="auto"/>
          <w:sz w:val="24"/>
          <w:szCs w:val="20"/>
        </w:rPr>
      </w:pPr>
    </w:p>
    <w:p w14:paraId="3F7A786C">
      <w:pPr>
        <w:adjustRightInd w:val="0"/>
        <w:snapToGrid w:val="0"/>
        <w:spacing w:line="360" w:lineRule="auto"/>
        <w:rPr>
          <w:rFonts w:hint="eastAsia" w:ascii="宋体" w:hAnsi="宋体" w:cs="宋体"/>
          <w:b/>
          <w:color w:val="auto"/>
          <w:sz w:val="24"/>
          <w:szCs w:val="20"/>
        </w:rPr>
      </w:pPr>
    </w:p>
    <w:p w14:paraId="7E770005">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63679E11">
      <w:pPr>
        <w:adjustRightInd w:val="0"/>
        <w:snapToGrid w:val="0"/>
        <w:spacing w:line="360" w:lineRule="auto"/>
        <w:jc w:val="center"/>
        <w:rPr>
          <w:rFonts w:hint="eastAsia" w:ascii="宋体" w:hAnsi="宋体" w:cs="宋体"/>
          <w:b/>
          <w:color w:val="auto"/>
          <w:sz w:val="24"/>
          <w:szCs w:val="20"/>
        </w:rPr>
      </w:pPr>
    </w:p>
    <w:p w14:paraId="4EDCF384">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4F18043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3403B4C0">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A6F256D">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B38984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25B75C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57835BB6">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75BF593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2CA0506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466990D2">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EB79461">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169480F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3B0AF416">
      <w:pPr>
        <w:jc w:val="left"/>
        <w:rPr>
          <w:rFonts w:hint="eastAsia" w:ascii="宋体" w:hAnsi="宋体" w:eastAsia="宋体" w:cs="Times New Roman"/>
          <w:b w:val="0"/>
          <w:bCs w:val="0"/>
          <w:color w:val="auto"/>
          <w:kern w:val="2"/>
          <w:sz w:val="24"/>
          <w:szCs w:val="24"/>
          <w:lang w:val="en-US" w:eastAsia="zh-CN" w:bidi="ar-SA"/>
        </w:rPr>
      </w:pPr>
    </w:p>
    <w:p w14:paraId="21D11BF0">
      <w:pPr>
        <w:jc w:val="left"/>
        <w:rPr>
          <w:rFonts w:hint="eastAsia" w:ascii="宋体" w:hAnsi="宋体" w:eastAsia="宋体" w:cs="Times New Roman"/>
          <w:b w:val="0"/>
          <w:bCs w:val="0"/>
          <w:color w:val="auto"/>
          <w:kern w:val="2"/>
          <w:sz w:val="24"/>
          <w:szCs w:val="24"/>
          <w:lang w:val="en-US" w:eastAsia="zh-CN" w:bidi="ar-SA"/>
        </w:rPr>
      </w:pPr>
    </w:p>
    <w:p w14:paraId="2C406AA0">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469E894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3A59E3E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14:paraId="6AA91257">
      <w:pPr>
        <w:pStyle w:val="15"/>
        <w:rPr>
          <w:rFonts w:hint="eastAsia"/>
          <w:lang w:eastAsia="zh-CN"/>
        </w:rPr>
      </w:pPr>
    </w:p>
    <w:p w14:paraId="68DA9DD9">
      <w:pPr>
        <w:spacing w:before="120" w:beforeLines="50" w:after="120" w:afterLines="50" w:line="276" w:lineRule="auto"/>
        <w:jc w:val="center"/>
        <w:rPr>
          <w:b/>
          <w:color w:val="auto"/>
          <w:sz w:val="24"/>
        </w:rPr>
      </w:pPr>
      <w:r>
        <w:rPr>
          <w:b/>
          <w:color w:val="auto"/>
          <w:sz w:val="24"/>
        </w:rPr>
        <w:t>采购需求响应/偏离表</w:t>
      </w:r>
    </w:p>
    <w:p w14:paraId="5377DABE">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7612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2B332F33">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872AB0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0BE749A3">
            <w:pPr>
              <w:adjustRightInd w:val="0"/>
              <w:snapToGrid w:val="0"/>
              <w:spacing w:before="50" w:line="360" w:lineRule="auto"/>
              <w:jc w:val="center"/>
              <w:rPr>
                <w:color w:val="auto"/>
              </w:rPr>
            </w:pPr>
            <w:r>
              <w:rPr>
                <w:color w:val="auto"/>
              </w:rPr>
              <w:t>招标文件要求</w:t>
            </w:r>
          </w:p>
        </w:tc>
        <w:tc>
          <w:tcPr>
            <w:tcW w:w="962" w:type="pct"/>
            <w:noWrap w:val="0"/>
            <w:vAlign w:val="top"/>
          </w:tcPr>
          <w:p w14:paraId="65A14241">
            <w:pPr>
              <w:adjustRightInd w:val="0"/>
              <w:snapToGrid w:val="0"/>
              <w:spacing w:before="50" w:line="360" w:lineRule="auto"/>
              <w:jc w:val="center"/>
              <w:rPr>
                <w:color w:val="auto"/>
              </w:rPr>
            </w:pPr>
            <w:r>
              <w:rPr>
                <w:color w:val="auto"/>
              </w:rPr>
              <w:t>投标文件应答</w:t>
            </w:r>
          </w:p>
        </w:tc>
        <w:tc>
          <w:tcPr>
            <w:tcW w:w="905" w:type="pct"/>
            <w:noWrap w:val="0"/>
            <w:vAlign w:val="center"/>
          </w:tcPr>
          <w:p w14:paraId="35F415C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358EDB9E">
            <w:pPr>
              <w:adjustRightInd w:val="0"/>
              <w:snapToGrid w:val="0"/>
              <w:spacing w:before="50" w:line="360" w:lineRule="auto"/>
              <w:ind w:left="-88" w:leftChars="-42"/>
              <w:jc w:val="center"/>
              <w:rPr>
                <w:color w:val="auto"/>
                <w:szCs w:val="21"/>
              </w:rPr>
            </w:pPr>
            <w:r>
              <w:rPr>
                <w:color w:val="auto"/>
                <w:szCs w:val="21"/>
              </w:rPr>
              <w:t>偏离说明</w:t>
            </w:r>
          </w:p>
        </w:tc>
      </w:tr>
      <w:tr w14:paraId="58D45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9D3297">
            <w:pPr>
              <w:adjustRightInd w:val="0"/>
              <w:snapToGrid w:val="0"/>
              <w:spacing w:before="50" w:line="360" w:lineRule="auto"/>
              <w:ind w:left="-88" w:leftChars="-42"/>
              <w:jc w:val="center"/>
              <w:rPr>
                <w:color w:val="auto"/>
                <w:szCs w:val="21"/>
              </w:rPr>
            </w:pPr>
          </w:p>
        </w:tc>
        <w:tc>
          <w:tcPr>
            <w:tcW w:w="1123" w:type="pct"/>
            <w:noWrap w:val="0"/>
            <w:vAlign w:val="center"/>
          </w:tcPr>
          <w:p w14:paraId="361B93AA">
            <w:pPr>
              <w:adjustRightInd w:val="0"/>
              <w:snapToGrid w:val="0"/>
              <w:spacing w:before="50" w:line="360" w:lineRule="auto"/>
              <w:ind w:left="-88" w:leftChars="-42"/>
              <w:jc w:val="center"/>
              <w:rPr>
                <w:color w:val="auto"/>
                <w:szCs w:val="21"/>
              </w:rPr>
            </w:pPr>
          </w:p>
        </w:tc>
        <w:tc>
          <w:tcPr>
            <w:tcW w:w="1000" w:type="pct"/>
            <w:noWrap w:val="0"/>
            <w:vAlign w:val="center"/>
          </w:tcPr>
          <w:p w14:paraId="5463B2F6">
            <w:pPr>
              <w:adjustRightInd w:val="0"/>
              <w:snapToGrid w:val="0"/>
              <w:spacing w:before="50" w:line="360" w:lineRule="auto"/>
              <w:ind w:left="-88" w:leftChars="-42"/>
              <w:jc w:val="center"/>
              <w:rPr>
                <w:color w:val="auto"/>
                <w:szCs w:val="21"/>
              </w:rPr>
            </w:pPr>
          </w:p>
        </w:tc>
        <w:tc>
          <w:tcPr>
            <w:tcW w:w="962" w:type="pct"/>
            <w:noWrap w:val="0"/>
            <w:vAlign w:val="center"/>
          </w:tcPr>
          <w:p w14:paraId="1C23536E">
            <w:pPr>
              <w:adjustRightInd w:val="0"/>
              <w:snapToGrid w:val="0"/>
              <w:spacing w:before="50" w:line="360" w:lineRule="auto"/>
              <w:ind w:left="-88" w:leftChars="-42"/>
              <w:jc w:val="center"/>
              <w:rPr>
                <w:color w:val="auto"/>
                <w:szCs w:val="21"/>
              </w:rPr>
            </w:pPr>
          </w:p>
        </w:tc>
        <w:tc>
          <w:tcPr>
            <w:tcW w:w="905" w:type="pct"/>
            <w:noWrap w:val="0"/>
            <w:vAlign w:val="center"/>
          </w:tcPr>
          <w:p w14:paraId="1B60F28C">
            <w:pPr>
              <w:adjustRightInd w:val="0"/>
              <w:snapToGrid w:val="0"/>
              <w:spacing w:before="50" w:line="360" w:lineRule="auto"/>
              <w:ind w:left="-88" w:leftChars="-42"/>
              <w:jc w:val="center"/>
              <w:rPr>
                <w:color w:val="auto"/>
                <w:szCs w:val="21"/>
              </w:rPr>
            </w:pPr>
          </w:p>
        </w:tc>
        <w:tc>
          <w:tcPr>
            <w:tcW w:w="634" w:type="pct"/>
            <w:noWrap w:val="0"/>
            <w:vAlign w:val="center"/>
          </w:tcPr>
          <w:p w14:paraId="260D2C3B">
            <w:pPr>
              <w:adjustRightInd w:val="0"/>
              <w:snapToGrid w:val="0"/>
              <w:spacing w:before="50" w:line="360" w:lineRule="auto"/>
              <w:ind w:left="-88" w:leftChars="-42"/>
              <w:jc w:val="center"/>
              <w:rPr>
                <w:color w:val="auto"/>
                <w:szCs w:val="21"/>
              </w:rPr>
            </w:pPr>
          </w:p>
        </w:tc>
      </w:tr>
      <w:tr w14:paraId="4639C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AE9F4A3">
            <w:pPr>
              <w:adjustRightInd w:val="0"/>
              <w:snapToGrid w:val="0"/>
              <w:spacing w:before="50" w:line="360" w:lineRule="auto"/>
              <w:ind w:left="-88" w:leftChars="-42"/>
              <w:jc w:val="center"/>
              <w:rPr>
                <w:color w:val="auto"/>
                <w:szCs w:val="21"/>
              </w:rPr>
            </w:pPr>
          </w:p>
        </w:tc>
        <w:tc>
          <w:tcPr>
            <w:tcW w:w="1123" w:type="pct"/>
            <w:noWrap w:val="0"/>
            <w:vAlign w:val="center"/>
          </w:tcPr>
          <w:p w14:paraId="038578AF">
            <w:pPr>
              <w:adjustRightInd w:val="0"/>
              <w:snapToGrid w:val="0"/>
              <w:spacing w:before="50" w:line="360" w:lineRule="auto"/>
              <w:ind w:left="-88" w:leftChars="-42"/>
              <w:jc w:val="center"/>
              <w:rPr>
                <w:color w:val="auto"/>
                <w:szCs w:val="21"/>
              </w:rPr>
            </w:pPr>
          </w:p>
        </w:tc>
        <w:tc>
          <w:tcPr>
            <w:tcW w:w="1000" w:type="pct"/>
            <w:noWrap w:val="0"/>
            <w:vAlign w:val="center"/>
          </w:tcPr>
          <w:p w14:paraId="3EC1E8BF">
            <w:pPr>
              <w:adjustRightInd w:val="0"/>
              <w:snapToGrid w:val="0"/>
              <w:spacing w:before="50" w:line="360" w:lineRule="auto"/>
              <w:ind w:left="-88" w:leftChars="-42"/>
              <w:jc w:val="center"/>
              <w:rPr>
                <w:color w:val="auto"/>
                <w:szCs w:val="21"/>
              </w:rPr>
            </w:pPr>
          </w:p>
        </w:tc>
        <w:tc>
          <w:tcPr>
            <w:tcW w:w="962" w:type="pct"/>
            <w:noWrap w:val="0"/>
            <w:vAlign w:val="center"/>
          </w:tcPr>
          <w:p w14:paraId="2D9399DE">
            <w:pPr>
              <w:adjustRightInd w:val="0"/>
              <w:snapToGrid w:val="0"/>
              <w:spacing w:before="50" w:line="360" w:lineRule="auto"/>
              <w:ind w:left="-88" w:leftChars="-42"/>
              <w:jc w:val="center"/>
              <w:rPr>
                <w:color w:val="auto"/>
                <w:szCs w:val="21"/>
              </w:rPr>
            </w:pPr>
          </w:p>
        </w:tc>
        <w:tc>
          <w:tcPr>
            <w:tcW w:w="905" w:type="pct"/>
            <w:noWrap w:val="0"/>
            <w:vAlign w:val="center"/>
          </w:tcPr>
          <w:p w14:paraId="40B26BC6">
            <w:pPr>
              <w:adjustRightInd w:val="0"/>
              <w:snapToGrid w:val="0"/>
              <w:spacing w:before="50" w:line="360" w:lineRule="auto"/>
              <w:ind w:left="-88" w:leftChars="-42"/>
              <w:jc w:val="center"/>
              <w:rPr>
                <w:color w:val="auto"/>
                <w:szCs w:val="21"/>
              </w:rPr>
            </w:pPr>
          </w:p>
        </w:tc>
        <w:tc>
          <w:tcPr>
            <w:tcW w:w="634" w:type="pct"/>
            <w:noWrap w:val="0"/>
            <w:vAlign w:val="center"/>
          </w:tcPr>
          <w:p w14:paraId="407F8781">
            <w:pPr>
              <w:adjustRightInd w:val="0"/>
              <w:snapToGrid w:val="0"/>
              <w:spacing w:before="50" w:line="360" w:lineRule="auto"/>
              <w:ind w:left="-88" w:leftChars="-42"/>
              <w:jc w:val="center"/>
              <w:rPr>
                <w:color w:val="auto"/>
                <w:szCs w:val="21"/>
              </w:rPr>
            </w:pPr>
          </w:p>
        </w:tc>
      </w:tr>
      <w:tr w14:paraId="779D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4D1B478">
            <w:pPr>
              <w:adjustRightInd w:val="0"/>
              <w:snapToGrid w:val="0"/>
              <w:spacing w:before="50" w:line="360" w:lineRule="auto"/>
              <w:ind w:left="-88" w:leftChars="-42"/>
              <w:jc w:val="center"/>
              <w:rPr>
                <w:color w:val="auto"/>
                <w:szCs w:val="21"/>
              </w:rPr>
            </w:pPr>
          </w:p>
        </w:tc>
        <w:tc>
          <w:tcPr>
            <w:tcW w:w="1123" w:type="pct"/>
            <w:noWrap w:val="0"/>
            <w:vAlign w:val="center"/>
          </w:tcPr>
          <w:p w14:paraId="2AAD60D8">
            <w:pPr>
              <w:adjustRightInd w:val="0"/>
              <w:snapToGrid w:val="0"/>
              <w:spacing w:before="50" w:line="360" w:lineRule="auto"/>
              <w:ind w:left="-88" w:leftChars="-42"/>
              <w:jc w:val="center"/>
              <w:rPr>
                <w:color w:val="auto"/>
                <w:szCs w:val="21"/>
              </w:rPr>
            </w:pPr>
          </w:p>
        </w:tc>
        <w:tc>
          <w:tcPr>
            <w:tcW w:w="1000" w:type="pct"/>
            <w:noWrap w:val="0"/>
            <w:vAlign w:val="center"/>
          </w:tcPr>
          <w:p w14:paraId="79AABAA5">
            <w:pPr>
              <w:adjustRightInd w:val="0"/>
              <w:snapToGrid w:val="0"/>
              <w:spacing w:before="50" w:line="360" w:lineRule="auto"/>
              <w:ind w:left="-88" w:leftChars="-42"/>
              <w:jc w:val="center"/>
              <w:rPr>
                <w:color w:val="auto"/>
                <w:szCs w:val="21"/>
              </w:rPr>
            </w:pPr>
          </w:p>
        </w:tc>
        <w:tc>
          <w:tcPr>
            <w:tcW w:w="962" w:type="pct"/>
            <w:noWrap w:val="0"/>
            <w:vAlign w:val="center"/>
          </w:tcPr>
          <w:p w14:paraId="6F75F531">
            <w:pPr>
              <w:adjustRightInd w:val="0"/>
              <w:snapToGrid w:val="0"/>
              <w:spacing w:before="50" w:line="360" w:lineRule="auto"/>
              <w:ind w:left="-88" w:leftChars="-42"/>
              <w:jc w:val="center"/>
              <w:rPr>
                <w:color w:val="auto"/>
                <w:szCs w:val="21"/>
              </w:rPr>
            </w:pPr>
          </w:p>
        </w:tc>
        <w:tc>
          <w:tcPr>
            <w:tcW w:w="905" w:type="pct"/>
            <w:noWrap w:val="0"/>
            <w:vAlign w:val="center"/>
          </w:tcPr>
          <w:p w14:paraId="0C922FB7">
            <w:pPr>
              <w:adjustRightInd w:val="0"/>
              <w:snapToGrid w:val="0"/>
              <w:spacing w:before="50" w:line="360" w:lineRule="auto"/>
              <w:ind w:left="-88" w:leftChars="-42"/>
              <w:jc w:val="center"/>
              <w:rPr>
                <w:color w:val="auto"/>
                <w:szCs w:val="21"/>
              </w:rPr>
            </w:pPr>
          </w:p>
        </w:tc>
        <w:tc>
          <w:tcPr>
            <w:tcW w:w="634" w:type="pct"/>
            <w:noWrap w:val="0"/>
            <w:vAlign w:val="center"/>
          </w:tcPr>
          <w:p w14:paraId="19904525">
            <w:pPr>
              <w:adjustRightInd w:val="0"/>
              <w:snapToGrid w:val="0"/>
              <w:spacing w:before="50" w:line="360" w:lineRule="auto"/>
              <w:ind w:left="-88" w:leftChars="-42"/>
              <w:jc w:val="center"/>
              <w:rPr>
                <w:color w:val="auto"/>
                <w:szCs w:val="21"/>
              </w:rPr>
            </w:pPr>
          </w:p>
        </w:tc>
      </w:tr>
      <w:tr w14:paraId="3B58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6A8B7DA4">
            <w:pPr>
              <w:rPr>
                <w:b/>
                <w:color w:val="auto"/>
              </w:rPr>
            </w:pPr>
          </w:p>
        </w:tc>
      </w:tr>
    </w:tbl>
    <w:p w14:paraId="35E278F0">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14:paraId="298D6BEB">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7D37D4D0">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w:t>
      </w:r>
      <w:r>
        <w:rPr>
          <w:rFonts w:hint="eastAsia"/>
          <w:color w:val="auto"/>
          <w:sz w:val="24"/>
          <w:lang w:val="en-US" w:eastAsia="zh-CN"/>
        </w:rPr>
        <w:t>二</w:t>
      </w:r>
      <w:r>
        <w:rPr>
          <w:color w:val="auto"/>
          <w:sz w:val="24"/>
        </w:rPr>
        <w:t>章的所有条款要求，其投标无效；</w:t>
      </w:r>
    </w:p>
    <w:p w14:paraId="70198183">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bookmarkStart w:id="5" w:name="_GoBack"/>
      <w:bookmarkEnd w:id="5"/>
    </w:p>
    <w:p w14:paraId="7FB18C4F">
      <w:pPr>
        <w:pStyle w:val="16"/>
        <w:rPr>
          <w:color w:val="auto"/>
        </w:rPr>
      </w:pPr>
    </w:p>
    <w:p w14:paraId="5721C18B">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14:paraId="339811EC">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14:paraId="540519AA">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14:paraId="606D4842">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14:paraId="3028DD90">
      <w:pPr>
        <w:pStyle w:val="15"/>
        <w:rPr>
          <w:rFonts w:hint="eastAsia"/>
          <w:lang w:eastAsia="zh-CN"/>
        </w:rPr>
      </w:pPr>
    </w:p>
    <w:p w14:paraId="34EAA06C">
      <w:pPr>
        <w:numPr>
          <w:ilvl w:val="0"/>
          <w:numId w:val="4"/>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14:paraId="144E637D">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14:paraId="2747C70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红豆小标宋简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A255">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6335C">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B6335C">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0F20D6C">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7A7A">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B9C7E">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5B9C7E">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0672D83C">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165E">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57D647D"/>
    <w:rsid w:val="06E91EC4"/>
    <w:rsid w:val="071C689B"/>
    <w:rsid w:val="08867B61"/>
    <w:rsid w:val="0E274C47"/>
    <w:rsid w:val="0E331420"/>
    <w:rsid w:val="0E76169C"/>
    <w:rsid w:val="0EDD1643"/>
    <w:rsid w:val="12994AC5"/>
    <w:rsid w:val="16EB1D52"/>
    <w:rsid w:val="19BF596B"/>
    <w:rsid w:val="1A1A5AAF"/>
    <w:rsid w:val="1AF56B46"/>
    <w:rsid w:val="1DC3741E"/>
    <w:rsid w:val="1F482B38"/>
    <w:rsid w:val="1FE73549"/>
    <w:rsid w:val="20B41DA7"/>
    <w:rsid w:val="20F751FF"/>
    <w:rsid w:val="22AB7B8A"/>
    <w:rsid w:val="245079B1"/>
    <w:rsid w:val="250C6795"/>
    <w:rsid w:val="25CA6780"/>
    <w:rsid w:val="28E81B29"/>
    <w:rsid w:val="2A461AE0"/>
    <w:rsid w:val="2C7642D0"/>
    <w:rsid w:val="2D7B74EA"/>
    <w:rsid w:val="2E022A6D"/>
    <w:rsid w:val="2EAC037F"/>
    <w:rsid w:val="2EB67A5C"/>
    <w:rsid w:val="302741D2"/>
    <w:rsid w:val="308B184D"/>
    <w:rsid w:val="340F06E9"/>
    <w:rsid w:val="344405F2"/>
    <w:rsid w:val="39996B77"/>
    <w:rsid w:val="3B3B544D"/>
    <w:rsid w:val="3B654F2B"/>
    <w:rsid w:val="3C01391D"/>
    <w:rsid w:val="3DF12CFC"/>
    <w:rsid w:val="3FC108AC"/>
    <w:rsid w:val="429A4992"/>
    <w:rsid w:val="43B25DAC"/>
    <w:rsid w:val="46202E1C"/>
    <w:rsid w:val="4AC76A02"/>
    <w:rsid w:val="4B792F36"/>
    <w:rsid w:val="4DCD6AB3"/>
    <w:rsid w:val="50540C20"/>
    <w:rsid w:val="51AC28BD"/>
    <w:rsid w:val="52FA7866"/>
    <w:rsid w:val="54653A5E"/>
    <w:rsid w:val="555B5FCF"/>
    <w:rsid w:val="55C40EA9"/>
    <w:rsid w:val="604638E0"/>
    <w:rsid w:val="611B6B1B"/>
    <w:rsid w:val="64133D6A"/>
    <w:rsid w:val="64D01371"/>
    <w:rsid w:val="66DC57F7"/>
    <w:rsid w:val="678E4F5D"/>
    <w:rsid w:val="6DE375E4"/>
    <w:rsid w:val="71584067"/>
    <w:rsid w:val="750117A8"/>
    <w:rsid w:val="76265FD6"/>
    <w:rsid w:val="76447599"/>
    <w:rsid w:val="77767390"/>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rPr>
  </w:style>
  <w:style w:type="paragraph" w:styleId="5">
    <w:name w:val="Body Text Indent"/>
    <w:basedOn w:val="1"/>
    <w:qFormat/>
    <w:uiPriority w:val="99"/>
    <w:pPr>
      <w:spacing w:line="400" w:lineRule="exact"/>
      <w:ind w:left="630"/>
    </w:pPr>
    <w:rPr>
      <w:rFonts w:ascii="楷体_GB2312"/>
      <w:sz w:val="30"/>
      <w:szCs w:val="30"/>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9"/>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表格文字"/>
    <w:basedOn w:val="1"/>
    <w:qFormat/>
    <w:uiPriority w:val="0"/>
    <w:pPr>
      <w:spacing w:before="25" w:beforeLines="0" w:beforeAutospacing="0" w:after="25" w:afterLines="0" w:afterAutospacing="0"/>
      <w:jc w:val="left"/>
    </w:pPr>
    <w:rPr>
      <w:spacing w:val="10"/>
      <w:kern w:val="0"/>
      <w:sz w:val="24"/>
    </w:rPr>
  </w:style>
  <w:style w:type="character" w:customStyle="1" w:styleId="19">
    <w:name w:val="NormalCharacter"/>
    <w:semiHidden/>
    <w:qFormat/>
    <w:uiPriority w:val="0"/>
    <w:rPr>
      <w:kern w:val="2"/>
      <w:sz w:val="21"/>
      <w:szCs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11603</Words>
  <Characters>12219</Characters>
  <Lines>0</Lines>
  <Paragraphs>0</Paragraphs>
  <TotalTime>1</TotalTime>
  <ScaleCrop>false</ScaleCrop>
  <LinksUpToDate>false</LinksUpToDate>
  <CharactersWithSpaces>13315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2025-03-19T02:55:49Z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