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5"/>
        <w:snapToGrid w:val="0"/>
        <w:jc w:val="center"/>
        <w:rPr>
          <w:rFonts w:hint="eastAsia" w:ascii="Arial" w:hAnsi="Arial" w:eastAsia="方正小标宋简体" w:cs="Arial"/>
          <w:color w:val="auto"/>
          <w:sz w:val="72"/>
          <w:szCs w:val="72"/>
          <w:lang w:eastAsia="zh-CN"/>
        </w:rPr>
      </w:pPr>
      <w:bookmarkStart w:id="0" w:name="_Toc16523570"/>
    </w:p>
    <w:p w14:paraId="624C34B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5"/>
        <w:snapToGrid w:val="0"/>
        <w:jc w:val="center"/>
        <w:rPr>
          <w:rFonts w:hint="eastAsia" w:ascii="Arial" w:hAnsi="Arial" w:eastAsia="方正小标宋简体" w:cs="Arial"/>
          <w:sz w:val="72"/>
          <w:szCs w:val="72"/>
        </w:rPr>
      </w:pPr>
    </w:p>
    <w:p w14:paraId="16E58BC0">
      <w:pPr>
        <w:pStyle w:val="15"/>
        <w:snapToGrid w:val="0"/>
        <w:jc w:val="center"/>
        <w:rPr>
          <w:rFonts w:hint="eastAsia" w:ascii="Arial" w:hAnsi="Arial" w:eastAsia="方正小标宋简体" w:cs="Arial"/>
          <w:sz w:val="72"/>
          <w:szCs w:val="72"/>
        </w:rPr>
      </w:pPr>
    </w:p>
    <w:p w14:paraId="7D3C3256">
      <w:pPr>
        <w:pStyle w:val="15"/>
        <w:snapToGrid w:val="0"/>
        <w:jc w:val="center"/>
        <w:rPr>
          <w:rFonts w:hint="eastAsia" w:ascii="Arial" w:hAnsi="Arial" w:eastAsia="方正小标宋简体" w:cs="Arial"/>
          <w:sz w:val="72"/>
          <w:szCs w:val="72"/>
        </w:rPr>
      </w:pPr>
    </w:p>
    <w:p w14:paraId="247FDB96">
      <w:pPr>
        <w:pStyle w:val="15"/>
        <w:snapToGrid w:val="0"/>
        <w:jc w:val="center"/>
        <w:rPr>
          <w:rFonts w:hint="eastAsia" w:ascii="Arial" w:hAnsi="Arial" w:eastAsia="方正小标宋简体" w:cs="Arial"/>
          <w:sz w:val="72"/>
          <w:szCs w:val="72"/>
        </w:rPr>
      </w:pPr>
      <w:r>
        <w:rPr>
          <w:rFonts w:hint="eastAsia" w:ascii="Arial" w:hAnsi="Arial" w:eastAsia="方正小标宋简体" w:cs="Arial"/>
          <w:sz w:val="72"/>
          <w:szCs w:val="72"/>
          <w:lang w:val="en-US" w:eastAsia="zh-CN"/>
        </w:rPr>
        <w:t>采购</w:t>
      </w:r>
      <w:r>
        <w:rPr>
          <w:rFonts w:hint="eastAsia" w:ascii="Arial" w:hAnsi="Arial" w:eastAsia="方正小标宋简体" w:cs="Arial"/>
          <w:sz w:val="72"/>
          <w:szCs w:val="72"/>
        </w:rPr>
        <w:t>文件</w:t>
      </w:r>
    </w:p>
    <w:p w14:paraId="25FEE0C6">
      <w:pPr>
        <w:pStyle w:val="15"/>
        <w:snapToGrid w:val="0"/>
        <w:jc w:val="center"/>
        <w:rPr>
          <w:rFonts w:ascii="Arial" w:hAnsi="Arial" w:cs="Arial"/>
          <w:sz w:val="32"/>
          <w:szCs w:val="32"/>
        </w:rPr>
      </w:pPr>
    </w:p>
    <w:p w14:paraId="1B92FFA5">
      <w:pPr>
        <w:pStyle w:val="15"/>
        <w:snapToGrid w:val="0"/>
        <w:jc w:val="center"/>
        <w:rPr>
          <w:rFonts w:ascii="Arial" w:hAnsi="Arial" w:cs="Arial"/>
          <w:sz w:val="32"/>
          <w:szCs w:val="32"/>
        </w:rPr>
      </w:pPr>
    </w:p>
    <w:p w14:paraId="3EB4A47A">
      <w:pPr>
        <w:pStyle w:val="15"/>
        <w:snapToGrid w:val="0"/>
        <w:jc w:val="center"/>
        <w:rPr>
          <w:rFonts w:ascii="Arial" w:hAnsi="Arial" w:cs="Arial"/>
          <w:sz w:val="32"/>
          <w:szCs w:val="32"/>
        </w:rPr>
      </w:pPr>
    </w:p>
    <w:p w14:paraId="47E5EED4">
      <w:pPr>
        <w:pStyle w:val="16"/>
        <w:rPr>
          <w:rFonts w:ascii="Arial" w:hAnsi="Arial" w:cs="Arial"/>
          <w:sz w:val="32"/>
          <w:szCs w:val="32"/>
        </w:rPr>
      </w:pPr>
    </w:p>
    <w:p w14:paraId="19CAF023">
      <w:pPr>
        <w:pStyle w:val="11"/>
        <w:rPr>
          <w:rFonts w:ascii="Arial" w:hAnsi="Arial" w:cs="Arial"/>
          <w:sz w:val="32"/>
          <w:szCs w:val="32"/>
        </w:rPr>
      </w:pPr>
    </w:p>
    <w:p w14:paraId="3A5D93D8">
      <w:pPr>
        <w:pStyle w:val="11"/>
        <w:rPr>
          <w:rFonts w:ascii="Arial" w:hAnsi="Arial" w:cs="Arial"/>
          <w:sz w:val="32"/>
          <w:szCs w:val="32"/>
        </w:rPr>
      </w:pPr>
    </w:p>
    <w:p w14:paraId="08AB9925">
      <w:pPr>
        <w:pStyle w:val="11"/>
        <w:rPr>
          <w:rFonts w:ascii="Arial" w:hAnsi="Arial" w:cs="Arial"/>
          <w:sz w:val="32"/>
          <w:szCs w:val="32"/>
        </w:rPr>
      </w:pPr>
    </w:p>
    <w:p w14:paraId="661F983B">
      <w:pPr>
        <w:pStyle w:val="11"/>
        <w:rPr>
          <w:rFonts w:ascii="Arial" w:hAnsi="Arial" w:cs="Arial"/>
          <w:sz w:val="32"/>
          <w:szCs w:val="32"/>
        </w:rPr>
      </w:pPr>
    </w:p>
    <w:p w14:paraId="4BF5C390">
      <w:pPr>
        <w:pStyle w:val="11"/>
        <w:rPr>
          <w:rFonts w:ascii="Arial" w:hAnsi="Arial" w:cs="Arial"/>
          <w:sz w:val="32"/>
          <w:szCs w:val="32"/>
        </w:rPr>
      </w:pPr>
    </w:p>
    <w:p w14:paraId="3929FD3A">
      <w:pPr>
        <w:pStyle w:val="11"/>
        <w:rPr>
          <w:rFonts w:ascii="Arial" w:hAnsi="Arial" w:cs="Arial"/>
          <w:sz w:val="32"/>
          <w:szCs w:val="32"/>
        </w:rPr>
      </w:pPr>
    </w:p>
    <w:p w14:paraId="11F65496">
      <w:pPr>
        <w:pStyle w:val="11"/>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（牙科微动力系统医院公开挂网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二</w:t>
      </w:r>
      <w:r>
        <w:rPr>
          <w:rFonts w:hint="eastAsia" w:ascii="宋体" w:hAnsi="宋体" w:cs="宋体"/>
          <w:bCs/>
          <w:sz w:val="32"/>
          <w:szCs w:val="32"/>
        </w:rPr>
        <w:t>月</w:t>
      </w:r>
    </w:p>
    <w:p w14:paraId="006D2227">
      <w:pPr>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br w:type="page"/>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牙科微动力系统</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5"/>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牙科微动力系统</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5"/>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03E8934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5"/>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6"/>
        <w:rPr>
          <w:rFonts w:hint="eastAsia"/>
          <w:lang w:val="en-US" w:eastAsia="zh-CN"/>
        </w:rPr>
      </w:pPr>
    </w:p>
    <w:p w14:paraId="687E9235">
      <w:pPr>
        <w:pStyle w:val="16"/>
        <w:jc w:val="both"/>
        <w:rPr>
          <w:rFonts w:hint="default"/>
          <w:lang w:val="en-US" w:eastAsia="zh-CN"/>
        </w:rPr>
      </w:pPr>
    </w:p>
    <w:p w14:paraId="7AECD5DA">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6"/>
        <w:rPr>
          <w:rFonts w:hint="eastAsia" w:ascii="宋体" w:hAnsi="宋体" w:cs="宋体"/>
          <w:b/>
          <w:bCs/>
          <w:color w:val="auto"/>
          <w:sz w:val="44"/>
          <w:szCs w:val="44"/>
          <w:lang w:val="en-US" w:eastAsia="zh-CN"/>
        </w:rPr>
      </w:pPr>
    </w:p>
    <w:p w14:paraId="69D61396">
      <w:pPr>
        <w:pStyle w:val="11"/>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4"/>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5"/>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12"/>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10"/>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牙科微动力系统</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jc w:val="center"/>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1.5</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否</w:t>
            </w:r>
          </w:p>
        </w:tc>
      </w:tr>
      <w:tr w14:paraId="13B0BFC1">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0C43D2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8524A8">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合计</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43F7A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BD5565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1.5</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30EC49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p>
        </w:tc>
      </w:tr>
    </w:tbl>
    <w:p w14:paraId="54822091">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7457924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1、双水路选择，更灵活：水箱可装蒸馏水或纯净水，配合内水道弯机使用；也可以直供灭菌冷却生理盐水，对应外水道弯机，在无菌手术中，能够降低手术感染率，伤口愈合快，并发症轻。</w:t>
      </w:r>
    </w:p>
    <w:p w14:paraId="033524B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2、插电即用，无需连接牙椅水、气，非常便携，可满足外科手术室、外出义诊、上门家庭就诊、科研教学、义齿打磨等多场景应用需求；</w:t>
      </w:r>
    </w:p>
    <w:p w14:paraId="6E58774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3、采用高性能无刷电机，扭矩≥3.5N·cm。马达空载转速1000—41500r/min，跳动＜0.02mm，振动&lt;0.5gp，噪音&lt;50dB，冷光LED灯（照度&gt;40000lx），高速电机设计；</w:t>
      </w:r>
    </w:p>
    <w:p w14:paraId="54809B1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4、电源输入：AC220V、50HZ、180VA（各±5），BF型电气安全设计；</w:t>
      </w:r>
    </w:p>
    <w:p w14:paraId="0D872FF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5、保险管参数：2×T1.6AL 250V±5；</w:t>
      </w:r>
    </w:p>
    <w:p w14:paraId="458DF79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6、主机尺寸(不含水箱)：≤155mm×167mm×227mm ，立式机身设计。</w:t>
      </w:r>
    </w:p>
    <w:p w14:paraId="4EFB3D4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7、采用多功能脚踏，水量控制、程序切换、正反转切换、无极变速控制均可通过多功能脚踏完成，解放医生双手。防水等级≥IPX6，满足手术室专用的防水等级要求；</w:t>
      </w:r>
    </w:p>
    <w:p w14:paraId="0A066AD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8、扳手式蠕动泵，简单易用，无需额外培训。蠕动泵流量0-120mL/min，≥6档水量控制，满足医生的使用需求；</w:t>
      </w:r>
    </w:p>
    <w:p w14:paraId="4443F4E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9、冷却系统：内置风冷系统，高效冷却、防烫伤，保护医患安全；</w:t>
      </w:r>
    </w:p>
    <w:p w14:paraId="017F6FF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10、接口标准：符合ISO3964国际标准（YY1012）；</w:t>
      </w:r>
    </w:p>
    <w:p w14:paraId="188C6FE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采用≥5英寸彩色LCD触摸屏，按临床实际用途配备了“修复模式”和“拔牙模式”，且采用中文程序（拔牙模式：拔牙、冲洗；修复模式：备牙、精修、破冠、自定义）精简直观，速度调节采用“进度条快速调节”和“+/-号精准调节”双重控制方式，便于医生使用。玻璃屏幕易清洁，可擦拭消毒；</w:t>
      </w:r>
    </w:p>
    <w:p w14:paraId="543CBB3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12、功能：适配16:1、1:1、1:3、1:4.2、1:5等转速比手机，覆盖高低速手机功能，≥6个预设程序功能，自动记忆参数；</w:t>
      </w:r>
    </w:p>
    <w:p w14:paraId="564B70A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13、有专门的外水道拔牙模式和内水道修复模式，拔牙模式还有专门的“冲洗”程序，无需取下车针就可以方便冲洗拔牙伤口。 </w:t>
      </w:r>
    </w:p>
    <w:p w14:paraId="72526FE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14、马达规格：≤68g 尺寸：≤Φ22x76.7mm </w:t>
      </w:r>
    </w:p>
    <w:p w14:paraId="6F66DB1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15、消毒方式：马达可承受≥134℃高温高压灭菌；</w:t>
      </w:r>
    </w:p>
    <w:p w14:paraId="72E95F8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16、1：3拔牙手机和1：5修复手机均采用市场主流轴承，卫生机头系统、防过热设计，使用更平稳可靠。</w:t>
      </w:r>
    </w:p>
    <w:p w14:paraId="0B316CC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17、1：3拔牙手机和1：5修复手机均为光纤手机，LED恒光源可提供稳定照明。</w:t>
      </w:r>
    </w:p>
    <w:p w14:paraId="5E10F70E">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18、主要配置：</w:t>
      </w:r>
    </w:p>
    <w:p w14:paraId="18087D7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18.1、一把弯手机（1:5内水道）</w:t>
      </w:r>
    </w:p>
    <w:p w14:paraId="11E311CF">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18.2、三把弯手机（1:3外水道）</w:t>
      </w: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453B5D5A">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1、运输、装卸、培训、安装调试：由中标人负责承担，最终通过使用科室、设备科及相关部门确认验收交付使用，交付设备必须为6个月内生产的产品。</w:t>
      </w:r>
    </w:p>
    <w:p w14:paraId="6E258B46">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77FE8ADF">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78A6F0B4">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3年后支付10%余款给乙方。</w:t>
      </w:r>
    </w:p>
    <w:p w14:paraId="52312D9B">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 3 年，终身维修。验收时出具原厂售后质保承诺书，质保期内每年巡检一次，并提交巡检记录。质保期内出现故障，1小时响应，响应后24小时上门服务。</w:t>
      </w:r>
    </w:p>
    <w:p w14:paraId="4BB2B94C">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46A704C1">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式两份，均需加盖公章），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4FD85729">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7D3728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62A62EF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6B2918F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004D64F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52DBED67">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71047D5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221FB6D2">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12D9530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3EE90F7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w:t>
      </w:r>
    </w:p>
    <w:p w14:paraId="2D94CFEC">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2376EC25">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3E25257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08864163">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089F2965">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2D8256B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牙科微动力系统</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牙科微动力系统</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215E66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2795E5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12"/>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23C2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761D0F5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14:paraId="02FF13C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14:paraId="417BB69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14:paraId="14E01BE2">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14:paraId="7F4CEAE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14:paraId="16A5117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7C6C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3C3D8B6C">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牙科微动力系统</w:t>
            </w:r>
          </w:p>
        </w:tc>
        <w:tc>
          <w:tcPr>
            <w:tcW w:w="1220" w:type="dxa"/>
            <w:noWrap w:val="0"/>
            <w:vAlign w:val="center"/>
          </w:tcPr>
          <w:p w14:paraId="6B05945A">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14:paraId="041E80F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184C986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14:paraId="160DA0E0">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w:t>
            </w:r>
          </w:p>
        </w:tc>
        <w:tc>
          <w:tcPr>
            <w:tcW w:w="1654" w:type="dxa"/>
            <w:noWrap w:val="0"/>
            <w:vAlign w:val="top"/>
          </w:tcPr>
          <w:p w14:paraId="7B91E71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50E33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14:paraId="2ADC5EBC">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26751AC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59AE94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1.3 </w:t>
      </w:r>
      <w:r>
        <w:rPr>
          <w:rFonts w:hint="eastAsia" w:ascii="宋体" w:hAnsi="宋体" w:cs="宋体"/>
          <w:color w:val="000000" w:themeColor="text1"/>
          <w:sz w:val="24"/>
          <w:szCs w:val="24"/>
          <w:highlight w:val="none"/>
          <w14:textFill>
            <w14:solidFill>
              <w14:schemeClr w14:val="tx1"/>
            </w14:solidFill>
          </w14:textFill>
        </w:rPr>
        <w:t>本合同设备</w:t>
      </w:r>
      <w:r>
        <w:rPr>
          <w:rFonts w:hint="eastAsia" w:ascii="宋体" w:hAnsi="宋体" w:cs="宋体"/>
          <w:color w:val="000000" w:themeColor="text1"/>
          <w:sz w:val="24"/>
          <w:szCs w:val="24"/>
          <w:highlight w:val="none"/>
          <w:lang w:eastAsia="zh-CN"/>
          <w14:textFill>
            <w14:solidFill>
              <w14:schemeClr w14:val="tx1"/>
            </w14:solidFill>
          </w14:textFill>
        </w:rPr>
        <w:t>无需要</w:t>
      </w:r>
      <w:r>
        <w:rPr>
          <w:rFonts w:hint="eastAsia" w:ascii="宋体" w:hAnsi="宋体" w:cs="宋体"/>
          <w:color w:val="000000" w:themeColor="text1"/>
          <w:sz w:val="24"/>
          <w:szCs w:val="24"/>
          <w:highlight w:val="none"/>
          <w14:textFill>
            <w14:solidFill>
              <w14:schemeClr w14:val="tx1"/>
            </w14:solidFill>
          </w14:textFill>
        </w:rPr>
        <w:t>与甲方</w:t>
      </w:r>
      <w:r>
        <w:rPr>
          <w:rFonts w:hint="eastAsia" w:ascii="宋体" w:hAnsi="宋体" w:cs="宋体"/>
          <w:color w:val="000000" w:themeColor="text1"/>
          <w:sz w:val="24"/>
          <w:szCs w:val="24"/>
          <w:highlight w:val="none"/>
          <w:lang w:eastAsia="zh-CN"/>
          <w14:textFill>
            <w14:solidFill>
              <w14:schemeClr w14:val="tx1"/>
            </w14:solidFill>
          </w14:textFill>
        </w:rPr>
        <w:t>使用的</w:t>
      </w:r>
      <w:r>
        <w:rPr>
          <w:rFonts w:hint="eastAsia" w:ascii="宋体" w:hAnsi="宋体" w:cs="宋体"/>
          <w:color w:val="000000" w:themeColor="text1"/>
          <w:sz w:val="24"/>
          <w:szCs w:val="24"/>
          <w:highlight w:val="none"/>
          <w14:textFill>
            <w14:solidFill>
              <w14:schemeClr w14:val="tx1"/>
            </w14:solidFill>
          </w14:textFill>
        </w:rPr>
        <w:t>信息系统</w:t>
      </w:r>
      <w:r>
        <w:rPr>
          <w:rFonts w:hint="eastAsia" w:ascii="宋体" w:hAnsi="宋体" w:cs="宋体"/>
          <w:color w:val="000000" w:themeColor="text1"/>
          <w:sz w:val="24"/>
          <w:szCs w:val="24"/>
          <w:highlight w:val="none"/>
          <w:lang w:eastAsia="zh-CN"/>
          <w14:textFill>
            <w14:solidFill>
              <w14:schemeClr w14:val="tx1"/>
            </w14:solidFill>
          </w14:textFill>
        </w:rPr>
        <w:t>对接</w:t>
      </w:r>
      <w:r>
        <w:rPr>
          <w:rFonts w:hint="eastAsia" w:ascii="宋体" w:hAnsi="宋体" w:cs="宋体"/>
          <w:color w:val="000000" w:themeColor="text1"/>
          <w:sz w:val="24"/>
          <w:szCs w:val="24"/>
          <w:highlight w:val="none"/>
          <w14:textFill>
            <w14:solidFill>
              <w14:schemeClr w14:val="tx1"/>
            </w14:solidFill>
          </w14:textFill>
        </w:rPr>
        <w:t>。</w:t>
      </w:r>
    </w:p>
    <w:p w14:paraId="74BD5FF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5396AB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2BB755C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2EE41FB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7E25838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44866BA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r>
        <w:rPr>
          <w:rFonts w:hint="eastAsia" w:ascii="宋体" w:hAnsi="宋体" w:eastAsia="宋体" w:cs="宋体"/>
          <w:color w:val="auto"/>
          <w:sz w:val="24"/>
          <w:szCs w:val="24"/>
        </w:rPr>
        <w:t>，</w:t>
      </w:r>
      <w:r>
        <w:rPr>
          <w:rFonts w:hint="eastAsia" w:ascii="宋体" w:hAnsi="宋体" w:cs="宋体"/>
          <w:color w:val="auto"/>
          <w:sz w:val="24"/>
          <w:szCs w:val="24"/>
          <w:lang w:eastAsia="zh-CN"/>
        </w:rPr>
        <w:t>乙方</w:t>
      </w:r>
      <w:r>
        <w:rPr>
          <w:rFonts w:hint="eastAsia" w:ascii="宋体" w:hAnsi="宋体" w:eastAsia="宋体" w:cs="宋体"/>
          <w:color w:val="auto"/>
          <w:sz w:val="24"/>
          <w:szCs w:val="24"/>
        </w:rPr>
        <w:t>交付设备必须为6个月内生产的产品</w:t>
      </w:r>
      <w:bookmarkStart w:id="4" w:name="_GoBack"/>
      <w:bookmarkEnd w:id="4"/>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04F96B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5FD42D0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150403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0F01B52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580725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5CA79C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692847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5A0FEDA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2E57A40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1D90F23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2E67A79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0E25A661">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7836078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1BE2B184">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6898B96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1C82EF2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368F390E">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11414DB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54924E9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5E29F59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399E116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7D2EBDD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5DBEA51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2B467B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26CF648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698B037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44B1592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3D5FE21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2BEF8A0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5ED88DF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569F4D3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1B4025E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67B3A7F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5AEF90F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37B6C26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6026171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39DC40C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4DB641F2">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0076E9C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0C336E57">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652322BE">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0ABC660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50EA8B1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6F67D58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706336B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1B3ADF15">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7C2FA85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5FB1692B">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586C243A">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22861D70">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3A0E5DF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7EC6A34A">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3BABBB0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2B45549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3D0E2595">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63360A7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64AFB75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5D9CEC3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6E5AE5E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6082098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015DF9D7">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2C7C7DB0">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49EEEF70">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0DE43528">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3F897348">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14:paraId="62EE5D29">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09EE1629">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p>
    <w:p w14:paraId="3169ADB6">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1BFAB87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768B185C">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2AC3B344">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45BD44F2">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6C209BF8">
      <w:pPr>
        <w:rPr>
          <w:rFonts w:hint="default" w:ascii="宋体" w:hAnsi="宋体" w:eastAsia="宋体" w:cs="宋体"/>
          <w:color w:val="auto"/>
          <w:sz w:val="24"/>
          <w:szCs w:val="24"/>
          <w:lang w:val="en-US" w:eastAsia="zh-CN"/>
        </w:rPr>
      </w:pPr>
    </w:p>
    <w:p w14:paraId="283224D2">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8"/>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7"/>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12"/>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44C37A86">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43CAB480">
      <w:pPr>
        <w:pStyle w:val="17"/>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12"/>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8"/>
        <w:rPr>
          <w:color w:val="auto"/>
        </w:rPr>
      </w:pPr>
    </w:p>
    <w:p w14:paraId="43E00E01">
      <w:pPr>
        <w:pStyle w:val="17"/>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8"/>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8"/>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8"/>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8"/>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9"/>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3E43FAE"/>
    <w:rsid w:val="04653F41"/>
    <w:rsid w:val="04B72FC8"/>
    <w:rsid w:val="06934BAA"/>
    <w:rsid w:val="06E91EC4"/>
    <w:rsid w:val="086F75C9"/>
    <w:rsid w:val="0A3F4F3C"/>
    <w:rsid w:val="0D363129"/>
    <w:rsid w:val="0E331420"/>
    <w:rsid w:val="0EDD1643"/>
    <w:rsid w:val="0FB9029C"/>
    <w:rsid w:val="0FDF4C4A"/>
    <w:rsid w:val="10897B23"/>
    <w:rsid w:val="10914EF9"/>
    <w:rsid w:val="10B8663C"/>
    <w:rsid w:val="11251CF1"/>
    <w:rsid w:val="1162327F"/>
    <w:rsid w:val="12080B62"/>
    <w:rsid w:val="12994AC5"/>
    <w:rsid w:val="129F447F"/>
    <w:rsid w:val="12C86253"/>
    <w:rsid w:val="15060AC8"/>
    <w:rsid w:val="151A6C3D"/>
    <w:rsid w:val="15675A4C"/>
    <w:rsid w:val="17F91BB8"/>
    <w:rsid w:val="196F4268"/>
    <w:rsid w:val="1AF56B46"/>
    <w:rsid w:val="1D603FE9"/>
    <w:rsid w:val="1DD7486D"/>
    <w:rsid w:val="1E79119D"/>
    <w:rsid w:val="1F334F58"/>
    <w:rsid w:val="1F796B24"/>
    <w:rsid w:val="1FE73549"/>
    <w:rsid w:val="2038045E"/>
    <w:rsid w:val="20AF0900"/>
    <w:rsid w:val="20B41DA7"/>
    <w:rsid w:val="219B6A98"/>
    <w:rsid w:val="24BA3EA8"/>
    <w:rsid w:val="267B0D76"/>
    <w:rsid w:val="272B6E6C"/>
    <w:rsid w:val="27CF2BB7"/>
    <w:rsid w:val="28E81B29"/>
    <w:rsid w:val="28FD390A"/>
    <w:rsid w:val="29B45A41"/>
    <w:rsid w:val="2A174DA9"/>
    <w:rsid w:val="2AB010A8"/>
    <w:rsid w:val="2C0A2E19"/>
    <w:rsid w:val="2C7642D0"/>
    <w:rsid w:val="2DD77C64"/>
    <w:rsid w:val="2DDA1E78"/>
    <w:rsid w:val="2DE00B8C"/>
    <w:rsid w:val="2EAC037F"/>
    <w:rsid w:val="2EB67A5C"/>
    <w:rsid w:val="302741D2"/>
    <w:rsid w:val="308B184D"/>
    <w:rsid w:val="309C1E01"/>
    <w:rsid w:val="31F17CD1"/>
    <w:rsid w:val="33384C93"/>
    <w:rsid w:val="33883049"/>
    <w:rsid w:val="340F06E9"/>
    <w:rsid w:val="36E47928"/>
    <w:rsid w:val="36F71BFC"/>
    <w:rsid w:val="372F7378"/>
    <w:rsid w:val="37E0236A"/>
    <w:rsid w:val="397348CD"/>
    <w:rsid w:val="3A994AB7"/>
    <w:rsid w:val="3B3B544D"/>
    <w:rsid w:val="3B654F2B"/>
    <w:rsid w:val="3BB72BAE"/>
    <w:rsid w:val="3BFC7D2B"/>
    <w:rsid w:val="3C8A61A4"/>
    <w:rsid w:val="3D5E17FF"/>
    <w:rsid w:val="3E1F0DA4"/>
    <w:rsid w:val="3E584E51"/>
    <w:rsid w:val="3EBE1ADE"/>
    <w:rsid w:val="403B4B34"/>
    <w:rsid w:val="414D7889"/>
    <w:rsid w:val="41BB0BAE"/>
    <w:rsid w:val="429A4992"/>
    <w:rsid w:val="435B161D"/>
    <w:rsid w:val="43B25DAC"/>
    <w:rsid w:val="44771DFD"/>
    <w:rsid w:val="453674CF"/>
    <w:rsid w:val="45D569C3"/>
    <w:rsid w:val="46835BCF"/>
    <w:rsid w:val="4AEE1A11"/>
    <w:rsid w:val="4B7F39F4"/>
    <w:rsid w:val="4BAE646F"/>
    <w:rsid w:val="4CAC1559"/>
    <w:rsid w:val="4D754257"/>
    <w:rsid w:val="4DCD6AB3"/>
    <w:rsid w:val="4F4124CE"/>
    <w:rsid w:val="50216DCD"/>
    <w:rsid w:val="50540C20"/>
    <w:rsid w:val="51AC28BD"/>
    <w:rsid w:val="52183ACC"/>
    <w:rsid w:val="581A7C72"/>
    <w:rsid w:val="583A4BD7"/>
    <w:rsid w:val="59C74B1F"/>
    <w:rsid w:val="59CA2210"/>
    <w:rsid w:val="611B6B1B"/>
    <w:rsid w:val="62C222C2"/>
    <w:rsid w:val="62C51F4D"/>
    <w:rsid w:val="632D7C40"/>
    <w:rsid w:val="63474D9C"/>
    <w:rsid w:val="64133D6A"/>
    <w:rsid w:val="678E4F5D"/>
    <w:rsid w:val="680E122C"/>
    <w:rsid w:val="69500C5B"/>
    <w:rsid w:val="6A4E1D63"/>
    <w:rsid w:val="6DE375E4"/>
    <w:rsid w:val="6E725B17"/>
    <w:rsid w:val="6E8E5287"/>
    <w:rsid w:val="6F5C590C"/>
    <w:rsid w:val="6FBE332C"/>
    <w:rsid w:val="70F97BA8"/>
    <w:rsid w:val="71554367"/>
    <w:rsid w:val="71584067"/>
    <w:rsid w:val="735201FF"/>
    <w:rsid w:val="737B50A4"/>
    <w:rsid w:val="73F40E72"/>
    <w:rsid w:val="74566F5C"/>
    <w:rsid w:val="750117A8"/>
    <w:rsid w:val="755B2270"/>
    <w:rsid w:val="75A94C7E"/>
    <w:rsid w:val="767B40A9"/>
    <w:rsid w:val="76920D75"/>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List 2"/>
    <w:basedOn w:val="1"/>
    <w:next w:val="6"/>
    <w:qFormat/>
    <w:uiPriority w:val="0"/>
    <w:pPr>
      <w:adjustRightInd w:val="0"/>
      <w:spacing w:line="312" w:lineRule="atLeast"/>
      <w:ind w:left="100" w:leftChars="200" w:hanging="200" w:hangingChars="200"/>
      <w:textAlignment w:val="baseline"/>
    </w:pPr>
    <w:rPr>
      <w:rFonts w:ascii="Calibri" w:hAnsi="Calibri" w:eastAsia="仿宋" w:cs="Times New Roman"/>
      <w:kern w:val="0"/>
      <w:sz w:val="32"/>
      <w:szCs w:val="20"/>
    </w:rPr>
  </w:style>
  <w:style w:type="paragraph" w:styleId="6">
    <w:name w:val="Plain Text"/>
    <w:basedOn w:val="1"/>
    <w:qFormat/>
    <w:uiPriority w:val="0"/>
    <w:rPr>
      <w:rFonts w:ascii="宋体" w:hAnsi="Calibri" w:eastAsia="宋体" w:cs="Times New Roman"/>
      <w:szCs w:val="20"/>
    </w:rPr>
  </w:style>
  <w:style w:type="paragraph" w:styleId="7">
    <w:name w:val="Date"/>
    <w:basedOn w:val="1"/>
    <w:next w:val="1"/>
    <w:qFormat/>
    <w:uiPriority w:val="0"/>
    <w:rPr>
      <w:szCs w:val="20"/>
    </w:rPr>
  </w:style>
  <w:style w:type="paragraph" w:styleId="8">
    <w:name w:val="footer"/>
    <w:basedOn w:val="1"/>
    <w:autoRedefine/>
    <w:qFormat/>
    <w:uiPriority w:val="0"/>
    <w:pPr>
      <w:tabs>
        <w:tab w:val="center" w:pos="4153"/>
        <w:tab w:val="right" w:pos="8306"/>
      </w:tabs>
      <w:snapToGrid w:val="0"/>
      <w:jc w:val="left"/>
    </w:pPr>
    <w:rPr>
      <w:kern w:val="0"/>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rPr>
      <w:sz w:val="24"/>
    </w:rPr>
  </w:style>
  <w:style w:type="paragraph" w:styleId="11">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4">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5">
    <w:name w:val="Default"/>
    <w:next w:val="1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6">
    <w:name w:val="大标题"/>
    <w:basedOn w:val="1"/>
    <w:next w:val="11"/>
    <w:autoRedefine/>
    <w:qFormat/>
    <w:uiPriority w:val="0"/>
    <w:pPr>
      <w:jc w:val="center"/>
    </w:pPr>
    <w:rPr>
      <w:rFonts w:ascii="Arial" w:hAnsi="Arial" w:eastAsia="宋体"/>
      <w:b/>
      <w:sz w:val="28"/>
      <w:szCs w:val="24"/>
    </w:rPr>
  </w:style>
  <w:style w:type="paragraph" w:customStyle="1" w:styleId="17">
    <w:name w:val="列出段落1"/>
    <w:basedOn w:val="1"/>
    <w:autoRedefine/>
    <w:qFormat/>
    <w:uiPriority w:val="99"/>
    <w:pPr>
      <w:ind w:firstLine="420" w:firstLineChars="200"/>
    </w:pPr>
  </w:style>
  <w:style w:type="paragraph" w:customStyle="1" w:styleId="1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9">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3145</Words>
  <Characters>3443</Characters>
  <Lines>0</Lines>
  <Paragraphs>0</Paragraphs>
  <TotalTime>0</TotalTime>
  <ScaleCrop>false</ScaleCrop>
  <LinksUpToDate>false</LinksUpToDate>
  <CharactersWithSpaces>3486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2025-02-17T02:15:53Z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