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6"/>
        <w:snapToGrid w:val="0"/>
        <w:jc w:val="center"/>
        <w:rPr>
          <w:rFonts w:hint="eastAsia" w:ascii="Arial" w:hAnsi="Arial" w:eastAsia="方正小标宋简体" w:cs="Arial"/>
          <w:color w:val="auto"/>
          <w:sz w:val="72"/>
          <w:szCs w:val="72"/>
          <w:lang w:eastAsia="zh-CN"/>
        </w:rPr>
      </w:pPr>
      <w:bookmarkStart w:id="0" w:name="_Toc16523570"/>
    </w:p>
    <w:p w14:paraId="624C34B6">
      <w:pPr>
        <w:pStyle w:val="16"/>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6"/>
        <w:snapToGrid w:val="0"/>
        <w:jc w:val="center"/>
        <w:rPr>
          <w:rFonts w:hint="eastAsia" w:ascii="Arial" w:hAnsi="Arial" w:eastAsia="方正小标宋简体" w:cs="Arial"/>
          <w:sz w:val="72"/>
          <w:szCs w:val="72"/>
        </w:rPr>
      </w:pPr>
    </w:p>
    <w:p w14:paraId="16E58BC0">
      <w:pPr>
        <w:pStyle w:val="16"/>
        <w:snapToGrid w:val="0"/>
        <w:jc w:val="center"/>
        <w:rPr>
          <w:rFonts w:hint="eastAsia" w:ascii="Arial" w:hAnsi="Arial" w:eastAsia="方正小标宋简体" w:cs="Arial"/>
          <w:sz w:val="72"/>
          <w:szCs w:val="72"/>
        </w:rPr>
      </w:pPr>
    </w:p>
    <w:p w14:paraId="7D3C3256">
      <w:pPr>
        <w:pStyle w:val="16"/>
        <w:snapToGrid w:val="0"/>
        <w:jc w:val="center"/>
        <w:rPr>
          <w:rFonts w:hint="eastAsia" w:ascii="Arial" w:hAnsi="Arial" w:eastAsia="方正小标宋简体" w:cs="Arial"/>
          <w:sz w:val="72"/>
          <w:szCs w:val="72"/>
        </w:rPr>
      </w:pPr>
    </w:p>
    <w:p w14:paraId="247FDB96">
      <w:pPr>
        <w:pStyle w:val="16"/>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6"/>
        <w:snapToGrid w:val="0"/>
        <w:jc w:val="center"/>
        <w:rPr>
          <w:rFonts w:ascii="Arial" w:hAnsi="Arial" w:cs="Arial"/>
          <w:sz w:val="32"/>
          <w:szCs w:val="32"/>
        </w:rPr>
      </w:pPr>
    </w:p>
    <w:p w14:paraId="1B92FFA5">
      <w:pPr>
        <w:pStyle w:val="16"/>
        <w:snapToGrid w:val="0"/>
        <w:jc w:val="center"/>
        <w:rPr>
          <w:rFonts w:ascii="Arial" w:hAnsi="Arial" w:cs="Arial"/>
          <w:sz w:val="32"/>
          <w:szCs w:val="32"/>
        </w:rPr>
      </w:pPr>
    </w:p>
    <w:p w14:paraId="3EB4A47A">
      <w:pPr>
        <w:pStyle w:val="16"/>
        <w:snapToGrid w:val="0"/>
        <w:jc w:val="center"/>
        <w:rPr>
          <w:rFonts w:ascii="Arial" w:hAnsi="Arial" w:cs="Arial"/>
          <w:sz w:val="32"/>
          <w:szCs w:val="32"/>
        </w:rPr>
      </w:pPr>
    </w:p>
    <w:p w14:paraId="47E5EED4">
      <w:pPr>
        <w:pStyle w:val="17"/>
        <w:rPr>
          <w:rFonts w:ascii="Arial" w:hAnsi="Arial" w:cs="Arial"/>
          <w:sz w:val="32"/>
          <w:szCs w:val="32"/>
        </w:rPr>
      </w:pPr>
    </w:p>
    <w:p w14:paraId="19CAF023">
      <w:pPr>
        <w:pStyle w:val="12"/>
        <w:rPr>
          <w:rFonts w:ascii="Arial" w:hAnsi="Arial" w:cs="Arial"/>
          <w:sz w:val="32"/>
          <w:szCs w:val="32"/>
        </w:rPr>
      </w:pPr>
    </w:p>
    <w:p w14:paraId="3A5D93D8">
      <w:pPr>
        <w:pStyle w:val="12"/>
        <w:rPr>
          <w:rFonts w:ascii="Arial" w:hAnsi="Arial" w:cs="Arial"/>
          <w:sz w:val="32"/>
          <w:szCs w:val="32"/>
        </w:rPr>
      </w:pPr>
    </w:p>
    <w:p w14:paraId="08AB9925">
      <w:pPr>
        <w:pStyle w:val="12"/>
        <w:rPr>
          <w:rFonts w:ascii="Arial" w:hAnsi="Arial" w:cs="Arial"/>
          <w:sz w:val="32"/>
          <w:szCs w:val="32"/>
        </w:rPr>
      </w:pPr>
    </w:p>
    <w:p w14:paraId="661F983B">
      <w:pPr>
        <w:pStyle w:val="12"/>
        <w:rPr>
          <w:rFonts w:ascii="Arial" w:hAnsi="Arial" w:cs="Arial"/>
          <w:sz w:val="32"/>
          <w:szCs w:val="32"/>
        </w:rPr>
      </w:pPr>
    </w:p>
    <w:p w14:paraId="4BF5C390">
      <w:pPr>
        <w:pStyle w:val="12"/>
        <w:rPr>
          <w:rFonts w:ascii="Arial" w:hAnsi="Arial" w:cs="Arial"/>
          <w:sz w:val="32"/>
          <w:szCs w:val="32"/>
        </w:rPr>
      </w:pPr>
    </w:p>
    <w:p w14:paraId="3929FD3A">
      <w:pPr>
        <w:pStyle w:val="12"/>
        <w:rPr>
          <w:rFonts w:ascii="Arial" w:hAnsi="Arial" w:cs="Arial"/>
          <w:sz w:val="32"/>
          <w:szCs w:val="32"/>
        </w:rPr>
      </w:pPr>
    </w:p>
    <w:p w14:paraId="11F65496">
      <w:pPr>
        <w:pStyle w:val="12"/>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（医用降温毯医院公开挂网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三</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6"/>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医用降温毯</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6"/>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6"/>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医用降温毯</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6"/>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7"/>
        <w:rPr>
          <w:rFonts w:hint="eastAsia"/>
          <w:lang w:val="en-US" w:eastAsia="zh-CN"/>
        </w:rPr>
      </w:pPr>
    </w:p>
    <w:p w14:paraId="687E9235">
      <w:pPr>
        <w:pStyle w:val="17"/>
        <w:jc w:val="both"/>
        <w:rPr>
          <w:rFonts w:hint="default"/>
          <w:lang w:val="en-US" w:eastAsia="zh-CN"/>
        </w:rPr>
      </w:pPr>
    </w:p>
    <w:p w14:paraId="7AECD5DA">
      <w:pPr>
        <w:pStyle w:val="1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7"/>
        <w:rPr>
          <w:rFonts w:hint="eastAsia" w:ascii="宋体" w:hAnsi="宋体" w:cs="宋体"/>
          <w:b/>
          <w:bCs/>
          <w:color w:val="auto"/>
          <w:sz w:val="44"/>
          <w:szCs w:val="44"/>
          <w:lang w:val="en-US" w:eastAsia="zh-CN"/>
        </w:rPr>
      </w:pPr>
    </w:p>
    <w:p w14:paraId="69D61396">
      <w:pPr>
        <w:pStyle w:val="12"/>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5"/>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3"/>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医用降温毯</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310B01B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1、整机通过电磁兼容（EMC）检测，须提供检验报告</w:t>
      </w:r>
      <w:r>
        <w:rPr>
          <w:rFonts w:hint="eastAsia" w:asciiTheme="minorEastAsia" w:hAnsiTheme="minorEastAsia" w:eastAsiaTheme="minorEastAsia" w:cstheme="minorEastAsia"/>
          <w:b w:val="0"/>
          <w:bCs/>
          <w:color w:val="auto"/>
          <w:kern w:val="0"/>
          <w:sz w:val="24"/>
          <w:szCs w:val="24"/>
          <w:lang w:val="en-US" w:eastAsia="zh-CN" w:bidi="ar-SA"/>
        </w:rPr>
        <w:t>。</w:t>
      </w:r>
    </w:p>
    <w:p w14:paraId="2FA2B26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2、全身体表降温面积达≥40%：一台主机可提供头毯，躯干毯，使得毯面与患者体表接触面积达到≥40%，显著提高热交换效率</w:t>
      </w:r>
      <w:r>
        <w:rPr>
          <w:rFonts w:hint="eastAsia" w:asciiTheme="minorEastAsia" w:hAnsiTheme="minorEastAsia" w:eastAsiaTheme="minorEastAsia" w:cstheme="minorEastAsia"/>
          <w:b w:val="0"/>
          <w:bCs/>
          <w:color w:val="auto"/>
          <w:kern w:val="0"/>
          <w:sz w:val="24"/>
          <w:szCs w:val="24"/>
          <w:lang w:val="en-US" w:eastAsia="zh-CN" w:bidi="ar-SA"/>
        </w:rPr>
        <w:t>。</w:t>
      </w:r>
    </w:p>
    <w:p w14:paraId="41E4797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3、安全要求：符合国际标准&lt;&lt;IEC 60601-1:2005 医用电气设备基本安全和基本性能的通用要求&gt;&gt;</w:t>
      </w:r>
      <w:r>
        <w:rPr>
          <w:rFonts w:hint="eastAsia" w:asciiTheme="minorEastAsia" w:hAnsiTheme="minorEastAsia" w:eastAsiaTheme="minorEastAsia" w:cstheme="minorEastAsia"/>
          <w:b w:val="0"/>
          <w:bCs/>
          <w:color w:val="auto"/>
          <w:kern w:val="0"/>
          <w:sz w:val="24"/>
          <w:szCs w:val="24"/>
          <w:lang w:val="en-US" w:eastAsia="zh-CN" w:bidi="ar-SA"/>
        </w:rPr>
        <w:t>。</w:t>
      </w:r>
      <w:r>
        <w:rPr>
          <w:rFonts w:hint="eastAsia" w:asciiTheme="minorEastAsia" w:hAnsiTheme="minorEastAsia" w:eastAsiaTheme="minorEastAsia" w:cstheme="minorEastAsia"/>
          <w:b w:val="0"/>
          <w:bCs/>
          <w:color w:val="auto"/>
          <w:kern w:val="0"/>
          <w:sz w:val="24"/>
          <w:szCs w:val="24"/>
          <w:lang w:val="en-US" w:eastAsia="zh-CN" w:bidi="ar-SA"/>
        </w:rPr>
        <w:t xml:space="preserve">                  </w:t>
      </w:r>
    </w:p>
    <w:p w14:paraId="602F841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4、TPU材质毯面，低温柔韧性好，耐臭氧消毒，头毯具有成人型，儿童型，新生儿型三种大小，可根据患者头型任意调节。</w:t>
      </w:r>
    </w:p>
    <w:p w14:paraId="7A0ABD3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5、采用进口控温系统，水温控制范围：在环境温度10</w:t>
      </w:r>
      <w:r>
        <w:rPr>
          <w:rFonts w:hint="eastAsia" w:ascii="宋体" w:hAnsi="宋体" w:cs="宋体"/>
          <w:kern w:val="0"/>
          <w:sz w:val="24"/>
          <w:szCs w:val="24"/>
          <w:highlight w:val="none"/>
        </w:rPr>
        <w:sym w:font="Symbol" w:char="00B0"/>
      </w:r>
      <w:r>
        <w:rPr>
          <w:rFonts w:hint="eastAsia" w:ascii="宋体" w:hAnsi="宋体" w:cs="宋体"/>
          <w:kern w:val="0"/>
          <w:sz w:val="24"/>
          <w:szCs w:val="24"/>
          <w:highlight w:val="none"/>
        </w:rPr>
        <w:t>C</w:t>
      </w:r>
      <w:r>
        <w:rPr>
          <w:rFonts w:hint="eastAsia" w:asciiTheme="minorEastAsia" w:hAnsiTheme="minorEastAsia" w:eastAsiaTheme="minorEastAsia" w:cstheme="minorEastAsia"/>
          <w:b w:val="0"/>
          <w:bCs/>
          <w:color w:val="auto"/>
          <w:kern w:val="0"/>
          <w:sz w:val="24"/>
          <w:szCs w:val="24"/>
          <w:lang w:val="en-US" w:eastAsia="zh-CN" w:bidi="ar-SA"/>
        </w:rPr>
        <w:t>～30</w:t>
      </w:r>
      <w:r>
        <w:rPr>
          <w:rFonts w:hint="eastAsia" w:ascii="宋体" w:hAnsi="宋体" w:cs="宋体"/>
          <w:kern w:val="0"/>
          <w:sz w:val="24"/>
          <w:szCs w:val="24"/>
          <w:highlight w:val="none"/>
        </w:rPr>
        <w:sym w:font="Symbol" w:char="00B0"/>
      </w:r>
      <w:r>
        <w:rPr>
          <w:rFonts w:hint="eastAsia" w:ascii="宋体" w:hAnsi="宋体" w:cs="宋体"/>
          <w:kern w:val="0"/>
          <w:sz w:val="24"/>
          <w:szCs w:val="24"/>
          <w:highlight w:val="none"/>
        </w:rPr>
        <w:t>C</w:t>
      </w:r>
      <w:r>
        <w:rPr>
          <w:rFonts w:hint="eastAsia" w:asciiTheme="minorEastAsia" w:hAnsiTheme="minorEastAsia" w:eastAsiaTheme="minorEastAsia" w:cstheme="minorEastAsia"/>
          <w:b w:val="0"/>
          <w:bCs/>
          <w:color w:val="auto"/>
          <w:kern w:val="0"/>
          <w:sz w:val="24"/>
          <w:szCs w:val="24"/>
          <w:lang w:val="en-US" w:eastAsia="zh-CN" w:bidi="ar-SA"/>
        </w:rPr>
        <w:t>条件下，水箱的温度在3</w:t>
      </w:r>
      <w:r>
        <w:rPr>
          <w:rFonts w:hint="eastAsia" w:ascii="宋体" w:hAnsi="宋体" w:cs="宋体"/>
          <w:kern w:val="0"/>
          <w:sz w:val="24"/>
          <w:szCs w:val="24"/>
          <w:highlight w:val="none"/>
        </w:rPr>
        <w:sym w:font="Symbol" w:char="00B0"/>
      </w:r>
      <w:r>
        <w:rPr>
          <w:rFonts w:hint="eastAsia" w:ascii="宋体" w:hAnsi="宋体" w:cs="宋体"/>
          <w:kern w:val="0"/>
          <w:sz w:val="24"/>
          <w:szCs w:val="24"/>
          <w:highlight w:val="none"/>
        </w:rPr>
        <w:t>C</w:t>
      </w:r>
      <w:r>
        <w:rPr>
          <w:rFonts w:hint="eastAsia" w:asciiTheme="minorEastAsia" w:hAnsiTheme="minorEastAsia" w:eastAsiaTheme="minorEastAsia" w:cstheme="minorEastAsia"/>
          <w:b w:val="0"/>
          <w:bCs/>
          <w:color w:val="auto"/>
          <w:kern w:val="0"/>
          <w:sz w:val="24"/>
          <w:szCs w:val="24"/>
          <w:lang w:val="en-US" w:eastAsia="zh-CN" w:bidi="ar-SA"/>
        </w:rPr>
        <w:t xml:space="preserve">  ～20</w:t>
      </w:r>
      <w:r>
        <w:rPr>
          <w:rFonts w:hint="eastAsia" w:ascii="宋体" w:hAnsi="宋体" w:cs="宋体"/>
          <w:kern w:val="0"/>
          <w:sz w:val="24"/>
          <w:szCs w:val="24"/>
          <w:highlight w:val="none"/>
        </w:rPr>
        <w:sym w:font="Symbol" w:char="00B0"/>
      </w:r>
      <w:r>
        <w:rPr>
          <w:rFonts w:hint="eastAsia" w:ascii="宋体" w:hAnsi="宋体" w:cs="宋体"/>
          <w:kern w:val="0"/>
          <w:sz w:val="24"/>
          <w:szCs w:val="24"/>
          <w:highlight w:val="none"/>
        </w:rPr>
        <w:t>C</w:t>
      </w:r>
      <w:r>
        <w:rPr>
          <w:rFonts w:hint="eastAsia" w:asciiTheme="minorEastAsia" w:hAnsiTheme="minorEastAsia" w:eastAsiaTheme="minorEastAsia" w:cstheme="minorEastAsia"/>
          <w:b w:val="0"/>
          <w:bCs/>
          <w:color w:val="auto"/>
          <w:kern w:val="0"/>
          <w:sz w:val="24"/>
          <w:szCs w:val="24"/>
          <w:lang w:val="en-US" w:eastAsia="zh-CN" w:bidi="ar-SA"/>
        </w:rPr>
        <w:t>的范围内可调；调节精准精度为</w:t>
      </w:r>
      <w:r>
        <w:rPr>
          <w:rFonts w:hint="eastAsia" w:ascii="宋体" w:hAnsi="宋体" w:cs="宋体"/>
          <w:color w:val="auto"/>
          <w:kern w:val="0"/>
          <w:sz w:val="24"/>
          <w:szCs w:val="24"/>
          <w:highlight w:val="none"/>
        </w:rPr>
        <w:sym w:font="Symbol" w:char="00B1"/>
      </w:r>
      <w:r>
        <w:rPr>
          <w:rFonts w:hint="eastAsia" w:asciiTheme="minorEastAsia" w:hAnsiTheme="minorEastAsia" w:eastAsiaTheme="minorEastAsia" w:cstheme="minorEastAsia"/>
          <w:b w:val="0"/>
          <w:bCs/>
          <w:color w:val="auto"/>
          <w:kern w:val="0"/>
          <w:sz w:val="24"/>
          <w:szCs w:val="24"/>
          <w:lang w:val="en-US" w:eastAsia="zh-CN" w:bidi="ar-SA"/>
        </w:rPr>
        <w:t>0.1</w:t>
      </w:r>
      <w:r>
        <w:rPr>
          <w:rFonts w:hint="eastAsia" w:ascii="宋体" w:hAnsi="宋体" w:cs="宋体"/>
          <w:kern w:val="0"/>
          <w:sz w:val="24"/>
          <w:szCs w:val="24"/>
          <w:highlight w:val="none"/>
        </w:rPr>
        <w:sym w:font="Symbol" w:char="00B0"/>
      </w:r>
      <w:r>
        <w:rPr>
          <w:rFonts w:hint="eastAsia" w:ascii="宋体" w:hAnsi="宋体" w:cs="宋体"/>
          <w:kern w:val="0"/>
          <w:sz w:val="24"/>
          <w:szCs w:val="24"/>
          <w:highlight w:val="none"/>
        </w:rPr>
        <w:t>C</w:t>
      </w:r>
      <w:r>
        <w:rPr>
          <w:rFonts w:hint="eastAsia" w:asciiTheme="minorEastAsia" w:hAnsiTheme="minorEastAsia" w:eastAsiaTheme="minorEastAsia" w:cstheme="minorEastAsia"/>
          <w:b w:val="0"/>
          <w:bCs/>
          <w:color w:val="auto"/>
          <w:kern w:val="0"/>
          <w:sz w:val="24"/>
          <w:szCs w:val="24"/>
          <w:lang w:val="en-US" w:eastAsia="zh-CN" w:bidi="ar-SA"/>
        </w:rPr>
        <w:t>；同时可以升温，升到40</w:t>
      </w:r>
      <w:r>
        <w:rPr>
          <w:rFonts w:hint="eastAsia" w:ascii="宋体" w:hAnsi="宋体" w:cs="宋体"/>
          <w:kern w:val="0"/>
          <w:sz w:val="24"/>
          <w:szCs w:val="24"/>
          <w:highlight w:val="none"/>
        </w:rPr>
        <w:sym w:font="Symbol" w:char="00B0"/>
      </w:r>
      <w:r>
        <w:rPr>
          <w:rFonts w:hint="eastAsia" w:ascii="宋体" w:hAnsi="宋体" w:cs="宋体"/>
          <w:kern w:val="0"/>
          <w:sz w:val="24"/>
          <w:szCs w:val="24"/>
          <w:highlight w:val="none"/>
        </w:rPr>
        <w:t>C</w:t>
      </w:r>
      <w:r>
        <w:rPr>
          <w:rFonts w:hint="eastAsia" w:asciiTheme="minorEastAsia" w:hAnsiTheme="minorEastAsia" w:eastAsiaTheme="minorEastAsia" w:cstheme="minorEastAsia"/>
          <w:b w:val="0"/>
          <w:bCs/>
          <w:color w:val="auto"/>
          <w:kern w:val="0"/>
          <w:sz w:val="24"/>
          <w:szCs w:val="24"/>
          <w:lang w:val="en-US" w:eastAsia="zh-CN" w:bidi="ar-SA"/>
        </w:rPr>
        <w:t>。</w:t>
      </w:r>
    </w:p>
    <w:p w14:paraId="23B35BB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6、体温设定：体温设定范围30</w:t>
      </w:r>
      <w:r>
        <w:rPr>
          <w:rFonts w:hint="eastAsia" w:ascii="宋体" w:hAnsi="宋体" w:cs="宋体"/>
          <w:kern w:val="0"/>
          <w:sz w:val="24"/>
          <w:szCs w:val="24"/>
          <w:highlight w:val="none"/>
        </w:rPr>
        <w:sym w:font="Symbol" w:char="00B0"/>
      </w:r>
      <w:r>
        <w:rPr>
          <w:rFonts w:hint="eastAsia" w:ascii="宋体" w:hAnsi="宋体" w:cs="宋体"/>
          <w:kern w:val="0"/>
          <w:sz w:val="24"/>
          <w:szCs w:val="24"/>
          <w:highlight w:val="none"/>
        </w:rPr>
        <w:t>C</w:t>
      </w:r>
      <w:r>
        <w:rPr>
          <w:rFonts w:hint="eastAsia" w:ascii="宋体" w:hAnsi="宋体" w:cs="宋体"/>
          <w:kern w:val="0"/>
          <w:sz w:val="24"/>
          <w:szCs w:val="24"/>
          <w:highlight w:val="none"/>
          <w:lang w:eastAsia="zh-CN"/>
        </w:rPr>
        <w:t>～</w:t>
      </w:r>
      <w:r>
        <w:rPr>
          <w:rFonts w:hint="eastAsia" w:asciiTheme="minorEastAsia" w:hAnsiTheme="minorEastAsia" w:eastAsiaTheme="minorEastAsia" w:cstheme="minorEastAsia"/>
          <w:b w:val="0"/>
          <w:bCs/>
          <w:color w:val="auto"/>
          <w:kern w:val="0"/>
          <w:sz w:val="24"/>
          <w:szCs w:val="24"/>
          <w:lang w:val="en-US" w:eastAsia="zh-CN" w:bidi="ar-SA"/>
        </w:rPr>
        <w:t xml:space="preserve"> 38.5</w:t>
      </w:r>
      <w:r>
        <w:rPr>
          <w:rFonts w:hint="eastAsia" w:ascii="宋体" w:hAnsi="宋体" w:cs="宋体"/>
          <w:kern w:val="0"/>
          <w:sz w:val="24"/>
          <w:szCs w:val="24"/>
          <w:highlight w:val="none"/>
        </w:rPr>
        <w:sym w:font="Symbol" w:char="00B0"/>
      </w:r>
      <w:r>
        <w:rPr>
          <w:rFonts w:hint="eastAsia" w:ascii="宋体" w:hAnsi="宋体" w:cs="宋体"/>
          <w:kern w:val="0"/>
          <w:sz w:val="24"/>
          <w:szCs w:val="24"/>
          <w:highlight w:val="none"/>
        </w:rPr>
        <w:t>C</w:t>
      </w:r>
      <w:r>
        <w:rPr>
          <w:rFonts w:hint="eastAsia" w:asciiTheme="minorEastAsia" w:hAnsiTheme="minorEastAsia" w:eastAsiaTheme="minorEastAsia" w:cstheme="minorEastAsia"/>
          <w:b w:val="0"/>
          <w:bCs/>
          <w:color w:val="auto"/>
          <w:kern w:val="0"/>
          <w:sz w:val="24"/>
          <w:szCs w:val="24"/>
          <w:lang w:val="en-US" w:eastAsia="zh-CN" w:bidi="ar-SA"/>
        </w:rPr>
        <w:t xml:space="preserve"> ，调节精准度</w:t>
      </w:r>
      <w:r>
        <w:rPr>
          <w:rFonts w:hint="eastAsia" w:ascii="宋体" w:hAnsi="宋体" w:cs="宋体"/>
          <w:color w:val="auto"/>
          <w:kern w:val="0"/>
          <w:sz w:val="24"/>
          <w:szCs w:val="24"/>
          <w:highlight w:val="none"/>
        </w:rPr>
        <w:sym w:font="Symbol" w:char="00B1"/>
      </w:r>
      <w:r>
        <w:rPr>
          <w:rFonts w:hint="eastAsia" w:asciiTheme="minorEastAsia" w:hAnsiTheme="minorEastAsia" w:eastAsiaTheme="minorEastAsia" w:cstheme="minorEastAsia"/>
          <w:b w:val="0"/>
          <w:bCs/>
          <w:color w:val="auto"/>
          <w:kern w:val="0"/>
          <w:sz w:val="24"/>
          <w:szCs w:val="24"/>
          <w:lang w:val="en-US" w:eastAsia="zh-CN" w:bidi="ar-SA"/>
        </w:rPr>
        <w:t>0.1</w:t>
      </w:r>
      <w:r>
        <w:rPr>
          <w:rFonts w:hint="eastAsia" w:ascii="宋体" w:hAnsi="宋体" w:cs="宋体"/>
          <w:kern w:val="0"/>
          <w:sz w:val="24"/>
          <w:szCs w:val="24"/>
          <w:highlight w:val="none"/>
        </w:rPr>
        <w:sym w:font="Symbol" w:char="00B0"/>
      </w:r>
      <w:r>
        <w:rPr>
          <w:rFonts w:hint="eastAsia" w:ascii="宋体" w:hAnsi="宋体" w:cs="宋体"/>
          <w:kern w:val="0"/>
          <w:sz w:val="24"/>
          <w:szCs w:val="24"/>
          <w:highlight w:val="none"/>
        </w:rPr>
        <w:t>C</w:t>
      </w:r>
    </w:p>
    <w:p w14:paraId="43549D2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7、降温速率：在环境温度23</w:t>
      </w:r>
      <w:r>
        <w:rPr>
          <w:rFonts w:hint="eastAsia" w:ascii="宋体" w:hAnsi="宋体" w:cs="宋体"/>
          <w:kern w:val="0"/>
          <w:sz w:val="24"/>
          <w:szCs w:val="24"/>
          <w:highlight w:val="none"/>
        </w:rPr>
        <w:sym w:font="Symbol" w:char="00B0"/>
      </w:r>
      <w:r>
        <w:rPr>
          <w:rFonts w:hint="eastAsia" w:ascii="宋体" w:hAnsi="宋体" w:cs="宋体"/>
          <w:kern w:val="0"/>
          <w:sz w:val="24"/>
          <w:szCs w:val="24"/>
          <w:highlight w:val="none"/>
        </w:rPr>
        <w:t>C</w:t>
      </w:r>
      <w:r>
        <w:rPr>
          <w:rFonts w:hint="eastAsia" w:asciiTheme="minorEastAsia" w:hAnsiTheme="minorEastAsia" w:eastAsiaTheme="minorEastAsia" w:cstheme="minorEastAsia"/>
          <w:b w:val="0"/>
          <w:bCs/>
          <w:color w:val="auto"/>
          <w:kern w:val="0"/>
          <w:sz w:val="24"/>
          <w:szCs w:val="24"/>
          <w:lang w:val="en-US" w:eastAsia="zh-CN" w:bidi="ar-SA"/>
        </w:rPr>
        <w:t>条件下，每下降1</w:t>
      </w:r>
      <w:r>
        <w:rPr>
          <w:rFonts w:hint="eastAsia" w:ascii="宋体" w:hAnsi="宋体" w:cs="宋体"/>
          <w:kern w:val="0"/>
          <w:sz w:val="24"/>
          <w:szCs w:val="24"/>
          <w:highlight w:val="none"/>
        </w:rPr>
        <w:sym w:font="Symbol" w:char="00B0"/>
      </w:r>
      <w:r>
        <w:rPr>
          <w:rFonts w:hint="eastAsia" w:ascii="宋体" w:hAnsi="宋体" w:cs="宋体"/>
          <w:kern w:val="0"/>
          <w:sz w:val="24"/>
          <w:szCs w:val="24"/>
          <w:highlight w:val="none"/>
        </w:rPr>
        <w:t>C</w:t>
      </w:r>
      <w:r>
        <w:rPr>
          <w:rFonts w:hint="eastAsia" w:asciiTheme="minorEastAsia" w:hAnsiTheme="minorEastAsia" w:eastAsiaTheme="minorEastAsia" w:cstheme="minorEastAsia"/>
          <w:b w:val="0"/>
          <w:bCs/>
          <w:color w:val="auto"/>
          <w:kern w:val="0"/>
          <w:sz w:val="24"/>
          <w:szCs w:val="24"/>
          <w:lang w:val="en-US" w:eastAsia="zh-CN" w:bidi="ar-SA"/>
        </w:rPr>
        <w:t>≤60秒 ；</w:t>
      </w:r>
    </w:p>
    <w:p w14:paraId="527BAE0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8、采用压缩机制冷方式，制冷量≥2120 W； </w:t>
      </w:r>
    </w:p>
    <w:p w14:paraId="72EE210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9、降温毯主机具有下列功能：</w:t>
      </w:r>
    </w:p>
    <w:p w14:paraId="77A12D5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a)水温值设定：实时监测有数字显示；</w:t>
      </w:r>
    </w:p>
    <w:p w14:paraId="19E6370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b)人体温度值设定：实时监测有数字显示；</w:t>
      </w:r>
    </w:p>
    <w:p w14:paraId="2CBD752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  c)水箱具备水位传感器：实时监测是否缺水；</w:t>
      </w:r>
    </w:p>
    <w:p w14:paraId="41DB336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d)工作状态有指示灯及字符显示；</w:t>
      </w:r>
    </w:p>
    <w:p w14:paraId="093F44C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e)体温传感器故障：有字符及声响提示；</w:t>
      </w:r>
    </w:p>
    <w:p w14:paraId="2EE1DB3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10、低阻力水毯采用等径水路与随机水流设计，配合每分钟≥75升的循环流量，确保快速水循环和高效热交换；</w:t>
      </w:r>
    </w:p>
    <w:p w14:paraId="3FA913E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11、水路连接采用双重防漏快速插头，插拔方便，接驳可靠；</w:t>
      </w:r>
    </w:p>
    <w:p w14:paraId="4510CB6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12、毯面温度均匀，毯面温度误差≤3</w:t>
      </w:r>
      <w:r>
        <w:rPr>
          <w:rFonts w:hint="eastAsia" w:ascii="宋体" w:hAnsi="宋体" w:cs="宋体"/>
          <w:kern w:val="0"/>
          <w:sz w:val="24"/>
          <w:szCs w:val="24"/>
          <w:highlight w:val="none"/>
        </w:rPr>
        <w:sym w:font="Symbol" w:char="00B0"/>
      </w:r>
      <w:r>
        <w:rPr>
          <w:rFonts w:hint="eastAsia" w:ascii="宋体" w:hAnsi="宋体" w:cs="宋体"/>
          <w:kern w:val="0"/>
          <w:sz w:val="24"/>
          <w:szCs w:val="24"/>
          <w:highlight w:val="none"/>
        </w:rPr>
        <w:t>C</w:t>
      </w:r>
      <w:r>
        <w:rPr>
          <w:rFonts w:hint="eastAsia" w:asciiTheme="minorEastAsia" w:hAnsiTheme="minorEastAsia" w:eastAsiaTheme="minorEastAsia" w:cstheme="minorEastAsia"/>
          <w:b w:val="0"/>
          <w:bCs/>
          <w:color w:val="auto"/>
          <w:kern w:val="0"/>
          <w:sz w:val="24"/>
          <w:szCs w:val="24"/>
          <w:lang w:val="en-US" w:eastAsia="zh-CN" w:bidi="ar-SA"/>
        </w:rPr>
        <w:t>；</w:t>
      </w:r>
    </w:p>
    <w:p w14:paraId="6D70A68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13、水泵采用进口品牌，水泵抽水量≥75L/分钟</w:t>
      </w:r>
    </w:p>
    <w:p w14:paraId="7A77D16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14、噪声：降温毯主机运转平稳，其整机噪声≤58 dB；</w:t>
      </w:r>
    </w:p>
    <w:p w14:paraId="5904F2F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15、密封性：降温毯循环水的管路密封性应良好，无漏水，滴水现象；</w:t>
      </w:r>
    </w:p>
    <w:p w14:paraId="3F259CB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16、控制界面单键操作，简单明了；参数记忆功能保证使用相同参数时，通电即用。 </w:t>
      </w:r>
    </w:p>
    <w:p w14:paraId="53165250">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17、三种报警功能：缺水、传感器插头脱离，管路阻塞报警，以声光显示。</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0C4C0C5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2154DFC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01E1ACC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3AE70DB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年后支付10%余款给乙方。</w:t>
      </w:r>
    </w:p>
    <w:p w14:paraId="313ADC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 xml:space="preserve"> 年，终身维修。验收时出具原厂售后质保承诺书，质保期内每年巡检一次，并提交巡检记录。质保期内出现故障，1小时响应，响应后24小时上门服务。</w:t>
      </w:r>
    </w:p>
    <w:p w14:paraId="3376856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2F6A05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660175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202A31B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3320F7B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63AF7DC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5C2E62C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B62BF0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1B1A799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2988055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1DB0C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56259B1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95A20E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14C5D90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13B56D5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392033C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6FB963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医用降温毯</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（设备名称）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医用降温毯</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（设备名称）相关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198BF1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1EDDF0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3"/>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6EA3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14:paraId="3E89D0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3E2970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67813A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6D6455F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150303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06A047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38B0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0097EF4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医用降温毯</w:t>
            </w:r>
          </w:p>
        </w:tc>
        <w:tc>
          <w:tcPr>
            <w:tcW w:w="1220" w:type="dxa"/>
            <w:vAlign w:val="center"/>
          </w:tcPr>
          <w:p w14:paraId="510EAD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3DAF017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2646CF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42D578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0F9E4E0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3D5C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5607809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5FE8289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3464D2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4419CE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6218AE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4CE17B0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A4871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2E623B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9659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381C022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3C0A5D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6178803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6912880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20B5D3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7FD08E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0656CDA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69FDD81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3EF315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228901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773F0BF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770E67D3">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bookmarkStart w:id="4" w:name="_GoBack"/>
      <w:bookmarkEnd w:id="4"/>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774BB4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4F40D83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693AA3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062976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55F7DF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238DA41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2C89C0D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40288B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16B205D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7A12DEF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389DA51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08DC76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26C86F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46D12B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7F31F66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0D945B7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08C351B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564861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25F6EA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06232AD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3F96B26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02DA9B5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2D4A745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4D99C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02CAA1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19029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E0F21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435877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2B261CC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113CF0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FF1215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3CE2B7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439BBD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43D88E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B59597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7C4E50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4EAEAF7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7348E3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9C285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26B551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575B22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706A704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79E69AB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19CB38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4F6DBF8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510C1A1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6C1067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75A412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D0C855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29E56E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5403B7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62660F3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4806AC4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6565798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05B6995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6B67614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C305D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9"/>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8"/>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3"/>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3"/>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3CC02228">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8"/>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3"/>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9"/>
        <w:rPr>
          <w:color w:val="auto"/>
        </w:rPr>
      </w:pPr>
    </w:p>
    <w:p w14:paraId="43E00E01">
      <w:pPr>
        <w:pStyle w:val="18"/>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9"/>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9"/>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9"/>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10"/>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A3F4F3C"/>
    <w:rsid w:val="0CEB653F"/>
    <w:rsid w:val="0D363129"/>
    <w:rsid w:val="0D6B322B"/>
    <w:rsid w:val="0E331420"/>
    <w:rsid w:val="0EDD1643"/>
    <w:rsid w:val="0FB9029C"/>
    <w:rsid w:val="10897B23"/>
    <w:rsid w:val="10914EF9"/>
    <w:rsid w:val="10B8663C"/>
    <w:rsid w:val="12080B62"/>
    <w:rsid w:val="12994AC5"/>
    <w:rsid w:val="129F447F"/>
    <w:rsid w:val="12C86253"/>
    <w:rsid w:val="14F400F9"/>
    <w:rsid w:val="15060AC8"/>
    <w:rsid w:val="15675A4C"/>
    <w:rsid w:val="17B21224"/>
    <w:rsid w:val="17F91BB8"/>
    <w:rsid w:val="196F4268"/>
    <w:rsid w:val="1AF56B46"/>
    <w:rsid w:val="1DD7486D"/>
    <w:rsid w:val="1E6A753E"/>
    <w:rsid w:val="1E79119D"/>
    <w:rsid w:val="1F334F58"/>
    <w:rsid w:val="1F796B24"/>
    <w:rsid w:val="1FE73549"/>
    <w:rsid w:val="2038045E"/>
    <w:rsid w:val="20AF0900"/>
    <w:rsid w:val="20B41DA7"/>
    <w:rsid w:val="219B6A98"/>
    <w:rsid w:val="24BA3EA8"/>
    <w:rsid w:val="267B0D76"/>
    <w:rsid w:val="272B6E6C"/>
    <w:rsid w:val="27CF2BB7"/>
    <w:rsid w:val="28E81B29"/>
    <w:rsid w:val="28FD390A"/>
    <w:rsid w:val="29B45A41"/>
    <w:rsid w:val="2A174DA9"/>
    <w:rsid w:val="2AB010A8"/>
    <w:rsid w:val="2C0A2E19"/>
    <w:rsid w:val="2C7642D0"/>
    <w:rsid w:val="2DD77C64"/>
    <w:rsid w:val="2DDA1E78"/>
    <w:rsid w:val="2DE00B8C"/>
    <w:rsid w:val="2EAC037F"/>
    <w:rsid w:val="2EB67A5C"/>
    <w:rsid w:val="2F9E010F"/>
    <w:rsid w:val="302741D2"/>
    <w:rsid w:val="308B184D"/>
    <w:rsid w:val="309C1E01"/>
    <w:rsid w:val="31F17CD1"/>
    <w:rsid w:val="33384C93"/>
    <w:rsid w:val="340F06E9"/>
    <w:rsid w:val="36E47928"/>
    <w:rsid w:val="36F71BFC"/>
    <w:rsid w:val="372F7378"/>
    <w:rsid w:val="37E0236A"/>
    <w:rsid w:val="37EB342A"/>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6835BCF"/>
    <w:rsid w:val="4AEE1A11"/>
    <w:rsid w:val="4B7F39F4"/>
    <w:rsid w:val="4BAE646F"/>
    <w:rsid w:val="4CAC1559"/>
    <w:rsid w:val="4D754257"/>
    <w:rsid w:val="4DCD6AB3"/>
    <w:rsid w:val="4F4124CE"/>
    <w:rsid w:val="50216DCD"/>
    <w:rsid w:val="50540C20"/>
    <w:rsid w:val="51AC28BD"/>
    <w:rsid w:val="52183ACC"/>
    <w:rsid w:val="581A7C72"/>
    <w:rsid w:val="583A4BD7"/>
    <w:rsid w:val="59C74B1F"/>
    <w:rsid w:val="59CA2210"/>
    <w:rsid w:val="611B6B1B"/>
    <w:rsid w:val="62C222C2"/>
    <w:rsid w:val="62C51F4D"/>
    <w:rsid w:val="632D7C40"/>
    <w:rsid w:val="64133D6A"/>
    <w:rsid w:val="64B47D9B"/>
    <w:rsid w:val="678E4F5D"/>
    <w:rsid w:val="680E122C"/>
    <w:rsid w:val="69500C5B"/>
    <w:rsid w:val="6A4E1D63"/>
    <w:rsid w:val="6B662BAC"/>
    <w:rsid w:val="6DE375E4"/>
    <w:rsid w:val="6E725B17"/>
    <w:rsid w:val="6E8E5287"/>
    <w:rsid w:val="6F5C590C"/>
    <w:rsid w:val="6FBE332C"/>
    <w:rsid w:val="70F97BA8"/>
    <w:rsid w:val="71554367"/>
    <w:rsid w:val="71584067"/>
    <w:rsid w:val="735201FF"/>
    <w:rsid w:val="737B50A4"/>
    <w:rsid w:val="73F40E72"/>
    <w:rsid w:val="74566F5C"/>
    <w:rsid w:val="750117A8"/>
    <w:rsid w:val="75031B13"/>
    <w:rsid w:val="755B2270"/>
    <w:rsid w:val="75A94C7E"/>
    <w:rsid w:val="767B40A9"/>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autoRedefine/>
    <w:qFormat/>
    <w:uiPriority w:val="99"/>
    <w:pPr>
      <w:spacing w:line="400" w:lineRule="exact"/>
      <w:ind w:left="630"/>
    </w:pPr>
    <w:rPr>
      <w:rFonts w:ascii="楷体_GB2312"/>
      <w:sz w:val="30"/>
      <w:szCs w:val="30"/>
    </w:rPr>
  </w:style>
  <w:style w:type="paragraph" w:styleId="6">
    <w:name w:val="List 2"/>
    <w:basedOn w:val="1"/>
    <w:next w:val="7"/>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7">
    <w:name w:val="Plain Text"/>
    <w:basedOn w:val="1"/>
    <w:qFormat/>
    <w:uiPriority w:val="0"/>
    <w:rPr>
      <w:rFonts w:ascii="宋体" w:hAnsi="Calibri" w:eastAsia="宋体" w:cs="Times New Roman"/>
      <w:szCs w:val="20"/>
    </w:rPr>
  </w:style>
  <w:style w:type="paragraph" w:styleId="8">
    <w:name w:val="Date"/>
    <w:basedOn w:val="1"/>
    <w:next w:val="1"/>
    <w:qFormat/>
    <w:uiPriority w:val="0"/>
    <w:rPr>
      <w:szCs w:val="20"/>
    </w:rPr>
  </w:style>
  <w:style w:type="paragraph" w:styleId="9">
    <w:name w:val="footer"/>
    <w:basedOn w:val="1"/>
    <w:autoRedefine/>
    <w:qFormat/>
    <w:uiPriority w:val="0"/>
    <w:pPr>
      <w:tabs>
        <w:tab w:val="center" w:pos="4153"/>
        <w:tab w:val="right" w:pos="8306"/>
      </w:tabs>
      <w:snapToGrid w:val="0"/>
      <w:jc w:val="left"/>
    </w:pPr>
    <w:rPr>
      <w:kern w:val="0"/>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rPr>
      <w:sz w:val="24"/>
    </w:rPr>
  </w:style>
  <w:style w:type="paragraph" w:styleId="12">
    <w:name w:val="Body Text First Indent 2"/>
    <w:basedOn w:val="5"/>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5">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6">
    <w:name w:val="Default"/>
    <w:next w:val="1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大标题"/>
    <w:basedOn w:val="1"/>
    <w:next w:val="12"/>
    <w:autoRedefine/>
    <w:qFormat/>
    <w:uiPriority w:val="0"/>
    <w:pPr>
      <w:jc w:val="center"/>
    </w:pPr>
    <w:rPr>
      <w:rFonts w:ascii="Arial" w:hAnsi="Arial" w:eastAsia="宋体"/>
      <w:b/>
      <w:sz w:val="28"/>
      <w:szCs w:val="24"/>
    </w:rPr>
  </w:style>
  <w:style w:type="paragraph" w:customStyle="1" w:styleId="18">
    <w:name w:val="列出段落1"/>
    <w:basedOn w:val="1"/>
    <w:autoRedefine/>
    <w:qFormat/>
    <w:uiPriority w:val="99"/>
    <w:pPr>
      <w:ind w:firstLine="420" w:firstLineChars="200"/>
    </w:pPr>
  </w:style>
  <w:style w:type="paragraph" w:customStyle="1" w:styleId="1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autoRedefine/>
    <w:qFormat/>
    <w:uiPriority w:val="34"/>
    <w:pPr>
      <w:ind w:firstLine="420" w:firstLineChars="200"/>
    </w:pPr>
    <w:rPr>
      <w:rFonts w:ascii="Calibri" w:hAnsi="Calibri"/>
      <w:szCs w:val="22"/>
    </w:rPr>
  </w:style>
  <w:style w:type="character" w:customStyle="1" w:styleId="21">
    <w:name w:val="font01"/>
    <w:basedOn w:val="14"/>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8292</Words>
  <Characters>8814</Characters>
  <Lines>0</Lines>
  <Paragraphs>0</Paragraphs>
  <TotalTime>0</TotalTime>
  <ScaleCrop>false</ScaleCrop>
  <LinksUpToDate>false</LinksUpToDate>
  <CharactersWithSpaces>9705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2025-03-18T07:38:12Z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