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（医用红外热像仪医院公开挂网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医用红外热像仪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医用红外热像仪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医用红外热像仪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7754ABB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1、红外探测器：  非制冷焦平面</w:t>
      </w:r>
    </w:p>
    <w:p w14:paraId="5E812C3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2、帧像素：      ≥384x288x14Bits</w:t>
      </w:r>
    </w:p>
    <w:p w14:paraId="701E478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3、工作波段：    8 - 14 μm</w:t>
      </w:r>
    </w:p>
    <w:p w14:paraId="5551ECA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4、测温准确度：  δ≤0.3℃</w:t>
      </w:r>
    </w:p>
    <w:p w14:paraId="7DA4CDD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5、温度分辨率：  NETD≤0.05 ℃</w:t>
      </w:r>
    </w:p>
    <w:p w14:paraId="3FE0F3D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6、测温重复性 :   δ≤0.2℃。</w:t>
      </w:r>
    </w:p>
    <w:p w14:paraId="4595253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7、瞬时视场 :     ≥1mrad</w:t>
      </w:r>
    </w:p>
    <w:p w14:paraId="3AF41C9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8、调焦方式：     计算机控制电动调焦。</w:t>
      </w:r>
    </w:p>
    <w:p w14:paraId="5007496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9、视场角：      垂直方向：23.6°±5°水平方向：37.5°±5°</w:t>
      </w:r>
    </w:p>
    <w:p w14:paraId="35F10A1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10、工作距离 :    0.5m-3m。</w:t>
      </w:r>
    </w:p>
    <w:p w14:paraId="65B1394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11、测温范围  :   30℃ ～ 42℃</w:t>
      </w:r>
    </w:p>
    <w:p w14:paraId="5139E85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12、度测量功能：对热像图中任意一点测量温度，可对图像矩形、圆、多边形区域测量平均值、最高值、最低值。</w:t>
      </w:r>
    </w:p>
    <w:p w14:paraId="5DC5617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13、图像处理：具备图像增强处理、设定温度测量窗宽</w:t>
      </w:r>
    </w:p>
    <w:p w14:paraId="57E0A44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14、专业应用软件报告：包含中医亚健康报告、运动损伤评估专科报告、 智能中医健康评</w:t>
      </w:r>
    </w:p>
    <w:p w14:paraId="65DEC26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估报告3套报告系统。</w:t>
      </w:r>
    </w:p>
    <w:p w14:paraId="380BC9B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15、操作系统：Android操作系统，触控操作。</w:t>
      </w:r>
    </w:p>
    <w:p w14:paraId="7A41251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16、拍摄应用：满足手持拍摄与固定拍摄两种应用模式</w:t>
      </w:r>
    </w:p>
    <w:p w14:paraId="557C6F2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17、控制系统：远程遥控控制拍摄，摄像界面与操作台界面同步；遥控连接控制电动云台</w:t>
      </w:r>
    </w:p>
    <w:p w14:paraId="3B382A37">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18、数据连接：扫描工作站与分析工作站传图数据互联共享</w:t>
      </w:r>
    </w:p>
    <w:p w14:paraId="0633F3E0">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p w14:paraId="56FB2723">
      <w:pPr>
        <w:spacing w:line="360" w:lineRule="auto"/>
        <w:ind w:firstLine="480" w:firstLineChars="200"/>
        <w:rPr>
          <w:rFonts w:hint="default"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1、红外摄像系统                                 1套</w:t>
      </w:r>
    </w:p>
    <w:p w14:paraId="23E8B61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2、可调节高度五轮移动台车                       1台</w:t>
      </w:r>
    </w:p>
    <w:p w14:paraId="3C4CB38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3、电动遥控控制云台                             1套</w:t>
      </w:r>
    </w:p>
    <w:p w14:paraId="0FB681A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4、控制分析平板电脑                             1台</w:t>
      </w:r>
    </w:p>
    <w:p w14:paraId="61C59FB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5、红外热像采集、分析软                         1套  </w:t>
      </w:r>
    </w:p>
    <w:p w14:paraId="40CBB7C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6、可升降操作分析台车                           1台 </w:t>
      </w:r>
    </w:p>
    <w:p w14:paraId="354C076A">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17BFC0FD">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运输、装卸、培训、安装调试：由中标人负责承担，最终通过使用科室、设备科及相关部门确认验收交</w:t>
      </w:r>
      <w:r>
        <w:rPr>
          <w:rFonts w:hint="eastAsia" w:ascii="宋体" w:hAnsi="宋体" w:eastAsia="宋体" w:cs="宋体"/>
          <w:color w:val="auto"/>
          <w:sz w:val="24"/>
          <w:szCs w:val="24"/>
          <w:highlight w:val="none"/>
        </w:rPr>
        <w:t>付使用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国产设备交付，设备必须为6个月内生产的产品；进口设备交付，设备必须为一年内生产的产品</w:t>
      </w:r>
      <w:r>
        <w:rPr>
          <w:rFonts w:hint="eastAsia" w:ascii="宋体" w:hAnsi="宋体" w:eastAsia="宋体" w:cs="宋体"/>
          <w:color w:val="auto"/>
          <w:sz w:val="24"/>
          <w:szCs w:val="24"/>
          <w:highlight w:val="none"/>
        </w:rPr>
        <w:t>。</w:t>
      </w:r>
    </w:p>
    <w:p w14:paraId="05210427">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78C719D">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932E03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172A7B98">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 年，终身维修。验收时出具原厂售后质保承诺书，质保期内每年巡检一次，并提交巡检记录。质保期内出现故障，1小时响应，响应后24小时上门服务。</w:t>
      </w:r>
    </w:p>
    <w:p w14:paraId="36A655B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w:t>
      </w:r>
      <w:r>
        <w:rPr>
          <w:rFonts w:hint="eastAsia" w:ascii="宋体" w:hAnsi="宋体" w:cs="宋体"/>
          <w:color w:val="auto"/>
          <w:sz w:val="24"/>
          <w:szCs w:val="24"/>
          <w:lang w:eastAsia="zh-CN"/>
        </w:rPr>
        <w:t>投标人</w:t>
      </w:r>
      <w:r>
        <w:rPr>
          <w:rFonts w:hint="eastAsia" w:ascii="宋体" w:hAnsi="宋体" w:eastAsia="宋体" w:cs="宋体"/>
          <w:color w:val="auto"/>
          <w:sz w:val="24"/>
          <w:szCs w:val="24"/>
        </w:rPr>
        <w:t>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66F7A0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A851FE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2F6B4D7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A7455D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60E2A08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3B3DCF7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5871B21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6F4D3F0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2AC66F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19F6B12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A77259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0CA405A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73EA89E6">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6B62939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2983E8F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9CE092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医用红外热像仪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医用红外热像仪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6E6804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6F01A96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068"/>
        <w:gridCol w:w="1378"/>
        <w:gridCol w:w="1320"/>
        <w:gridCol w:w="940"/>
        <w:gridCol w:w="1654"/>
      </w:tblGrid>
      <w:tr w14:paraId="57FE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2051" w:type="dxa"/>
            <w:vAlign w:val="top"/>
          </w:tcPr>
          <w:p w14:paraId="5469563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068" w:type="dxa"/>
            <w:vAlign w:val="top"/>
          </w:tcPr>
          <w:p w14:paraId="46B58C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378" w:type="dxa"/>
            <w:vAlign w:val="top"/>
          </w:tcPr>
          <w:p w14:paraId="3F8AF0B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1494DC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005A20D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05638BA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E34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051" w:type="dxa"/>
            <w:vAlign w:val="center"/>
          </w:tcPr>
          <w:p w14:paraId="1148A2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医用红外热像仪</w:t>
            </w:r>
          </w:p>
        </w:tc>
        <w:tc>
          <w:tcPr>
            <w:tcW w:w="1068" w:type="dxa"/>
            <w:vAlign w:val="center"/>
          </w:tcPr>
          <w:p w14:paraId="3B2EE1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78" w:type="dxa"/>
            <w:vAlign w:val="center"/>
          </w:tcPr>
          <w:p w14:paraId="1D6C0D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center"/>
          </w:tcPr>
          <w:p w14:paraId="442188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vAlign w:val="center"/>
          </w:tcPr>
          <w:p w14:paraId="64C0B7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center"/>
          </w:tcPr>
          <w:p w14:paraId="4DB6F9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B60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721A757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70AF48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41113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0F7168C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39560C5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17DB7E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12C0D91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0490EC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295F733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29BB8D5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0F1E9E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11566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78CD02F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67FB647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7B42822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0FC5F64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BDDBD7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14B1E4C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0EA430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576DE83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DAAAAFD">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581FE32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18FC66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7A537D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F5F8E9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8AE10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5940A4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484B4D4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0AB2FB2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17F7DFC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4B577D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23B7351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1755D9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183DAFB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30F388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531281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60CED7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6BFF763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68B193D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0DDDE06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A3350F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57171A3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351DD55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6630E4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54283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619CA04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20FC0EF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5A9BFB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9D92EE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77C032B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228E57B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6F36BBF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3DAA53C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0240204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D0837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527F80D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6295779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2FFA05C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6E61094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11C96A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16645E3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25EFBC9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45404E7D">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58593743">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106682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05E1E0D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FFA0F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5F433C9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7E58A41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CC32C5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7BAF88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002DA1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1035BC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C305D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2225673D">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83224D2">
      <w:pPr>
        <w:rPr>
          <w:rFonts w:hint="eastAsia" w:ascii="黑体" w:hAnsi="黑体" w:eastAsia="黑体" w:cs="黑体"/>
          <w:sz w:val="32"/>
          <w:szCs w:val="32"/>
          <w:lang w:val="en-US" w:eastAsia="zh-CN"/>
        </w:rPr>
      </w:pPr>
      <w:bookmarkStart w:id="4" w:name="_GoBack"/>
      <w:bookmarkEnd w:id="4"/>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3CC02228">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E42333AC"/>
    <w:multiLevelType w:val="singleLevel"/>
    <w:tmpl w:val="E42333A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92D1ED0"/>
    <w:rsid w:val="0A3F4F3C"/>
    <w:rsid w:val="0CEB653F"/>
    <w:rsid w:val="0D363129"/>
    <w:rsid w:val="0D6B322B"/>
    <w:rsid w:val="0E331420"/>
    <w:rsid w:val="0EDD1643"/>
    <w:rsid w:val="0FB9029C"/>
    <w:rsid w:val="10897B23"/>
    <w:rsid w:val="10914EF9"/>
    <w:rsid w:val="10B8663C"/>
    <w:rsid w:val="12080B62"/>
    <w:rsid w:val="12994AC5"/>
    <w:rsid w:val="129F447F"/>
    <w:rsid w:val="12C86253"/>
    <w:rsid w:val="15060AC8"/>
    <w:rsid w:val="15675A4C"/>
    <w:rsid w:val="17B21224"/>
    <w:rsid w:val="17F91BB8"/>
    <w:rsid w:val="196F4268"/>
    <w:rsid w:val="1AD83C3B"/>
    <w:rsid w:val="1AF56B46"/>
    <w:rsid w:val="1DD7486D"/>
    <w:rsid w:val="1E6A753E"/>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2F9E010F"/>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 w:type="character" w:customStyle="1" w:styleId="20">
    <w:name w:val="font01"/>
    <w:basedOn w:val="13"/>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9144</Words>
  <Characters>9656</Characters>
  <Lines>0</Lines>
  <Paragraphs>0</Paragraphs>
  <TotalTime>1</TotalTime>
  <ScaleCrop>false</ScaleCrop>
  <LinksUpToDate>false</LinksUpToDate>
  <CharactersWithSpaces>10543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2025-04-01T00:36:43Z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