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11608FC0">
      <w:pPr>
        <w:pStyle w:val="15"/>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5"/>
        <w:snapToGrid w:val="0"/>
        <w:jc w:val="center"/>
        <w:rPr>
          <w:rFonts w:ascii="Arial" w:hAnsi="Arial" w:cs="Arial"/>
          <w:sz w:val="32"/>
          <w:szCs w:val="32"/>
        </w:rPr>
      </w:pPr>
    </w:p>
    <w:p w14:paraId="46311545">
      <w:pPr>
        <w:pStyle w:val="16"/>
        <w:rPr>
          <w:rFonts w:ascii="Arial" w:hAnsi="Arial" w:cs="Arial"/>
          <w:sz w:val="32"/>
          <w:szCs w:val="32"/>
        </w:rPr>
      </w:pPr>
    </w:p>
    <w:p w14:paraId="5F00027D">
      <w:pPr>
        <w:pStyle w:val="10"/>
        <w:rPr>
          <w:rFonts w:ascii="Arial" w:hAnsi="Arial" w:cs="Arial"/>
          <w:sz w:val="32"/>
          <w:szCs w:val="32"/>
        </w:rPr>
      </w:pPr>
    </w:p>
    <w:p w14:paraId="790E99FE">
      <w:pPr>
        <w:pStyle w:val="10"/>
        <w:rPr>
          <w:rFonts w:ascii="Arial" w:hAnsi="Arial" w:cs="Arial"/>
          <w:sz w:val="32"/>
          <w:szCs w:val="32"/>
        </w:rPr>
      </w:pPr>
    </w:p>
    <w:p w14:paraId="6D6CF557">
      <w:pPr>
        <w:pStyle w:val="10"/>
        <w:rPr>
          <w:rFonts w:ascii="Arial" w:hAnsi="Arial" w:cs="Arial"/>
          <w:sz w:val="32"/>
          <w:szCs w:val="32"/>
        </w:rPr>
      </w:pPr>
    </w:p>
    <w:p w14:paraId="77BABE1C">
      <w:pPr>
        <w:pStyle w:val="10"/>
        <w:rPr>
          <w:rFonts w:ascii="Arial" w:hAnsi="Arial" w:cs="Arial"/>
          <w:sz w:val="32"/>
          <w:szCs w:val="32"/>
        </w:rPr>
      </w:pPr>
    </w:p>
    <w:p w14:paraId="1C0FB295">
      <w:pPr>
        <w:pStyle w:val="10"/>
        <w:rPr>
          <w:rFonts w:ascii="Arial" w:hAnsi="Arial" w:cs="Arial"/>
          <w:sz w:val="32"/>
          <w:szCs w:val="32"/>
        </w:rPr>
      </w:pPr>
    </w:p>
    <w:p w14:paraId="4C96CB97">
      <w:pPr>
        <w:pStyle w:val="10"/>
        <w:rPr>
          <w:rFonts w:ascii="Arial" w:hAnsi="Arial" w:cs="Arial"/>
          <w:sz w:val="32"/>
          <w:szCs w:val="32"/>
        </w:rPr>
      </w:pPr>
    </w:p>
    <w:p w14:paraId="1825AAC5">
      <w:pPr>
        <w:pStyle w:val="10"/>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（摆锯+空心钻医院公开挂网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摆锯+空心钻</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摆锯+空心钻</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0"/>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1"/>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摆锯</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2.25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57B575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AC138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2830F0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空心钻</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0438A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8E6E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9F8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58CF05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190C5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CDDA95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53913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63B1C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6.55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FC3ED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019BEC54">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tbl>
      <w:tblPr>
        <w:tblStyle w:val="12"/>
        <w:tblpPr w:leftFromText="180" w:rightFromText="180" w:vertAnchor="text" w:horzAnchor="page" w:tblpX="1660" w:tblpY="623"/>
        <w:tblOverlap w:val="never"/>
        <w:tblW w:w="89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00"/>
        <w:gridCol w:w="6405"/>
      </w:tblGrid>
      <w:tr w14:paraId="131FC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5" w:type="dxa"/>
            <w:gridSpan w:val="3"/>
            <w:noWrap w:val="0"/>
            <w:vAlign w:val="center"/>
          </w:tcPr>
          <w:p w14:paraId="04185BA1">
            <w:pPr>
              <w:widowControl/>
              <w:textAlignment w:val="center"/>
              <w:rPr>
                <w:rFonts w:hint="default" w:ascii="宋体" w:hAnsi="宋体" w:cs="宋体"/>
                <w:b/>
                <w:bCs/>
                <w:color w:val="000000"/>
                <w:kern w:val="0"/>
                <w:szCs w:val="21"/>
                <w:lang w:val="en-US" w:eastAsia="zh-CN" w:bidi="ar"/>
              </w:rPr>
            </w:pPr>
            <w:r>
              <w:rPr>
                <w:rFonts w:hint="eastAsia" w:ascii="宋体" w:hAnsi="宋体" w:cs="宋体"/>
                <w:b/>
                <w:bCs/>
                <w:color w:val="000000"/>
                <w:kern w:val="0"/>
                <w:szCs w:val="21"/>
                <w:lang w:val="en-US" w:eastAsia="zh-CN" w:bidi="ar"/>
              </w:rPr>
              <w:t>一、技术参数</w:t>
            </w:r>
          </w:p>
        </w:tc>
      </w:tr>
      <w:tr w14:paraId="1A461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5" w:type="dxa"/>
            <w:gridSpan w:val="3"/>
            <w:noWrap w:val="0"/>
            <w:vAlign w:val="center"/>
          </w:tcPr>
          <w:p w14:paraId="4A77D4CF">
            <w:pPr>
              <w:widowControl/>
              <w:textAlignment w:val="center"/>
              <w:rPr>
                <w:rFonts w:hint="eastAsia" w:ascii="宋体" w:hAnsi="宋体"/>
                <w:szCs w:val="21"/>
              </w:rPr>
            </w:pPr>
            <w:r>
              <w:rPr>
                <w:rFonts w:hint="eastAsia" w:ascii="宋体" w:hAnsi="宋体" w:cs="宋体"/>
                <w:b/>
                <w:bCs/>
                <w:color w:val="000000"/>
                <w:kern w:val="0"/>
                <w:szCs w:val="21"/>
                <w:lang w:val="en-US" w:eastAsia="zh-CN" w:bidi="ar"/>
              </w:rPr>
              <w:t>（一）摆锯</w:t>
            </w:r>
            <w:r>
              <w:rPr>
                <w:rFonts w:hint="eastAsia" w:ascii="宋体" w:hAnsi="宋体" w:cs="宋体"/>
                <w:b/>
                <w:bCs/>
                <w:color w:val="000000"/>
                <w:kern w:val="0"/>
                <w:szCs w:val="21"/>
                <w:lang w:bidi="ar"/>
              </w:rPr>
              <w:t>主要技术参数</w:t>
            </w:r>
          </w:p>
        </w:tc>
      </w:tr>
      <w:tr w14:paraId="249563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20" w:type="dxa"/>
            <w:vMerge w:val="restart"/>
            <w:noWrap w:val="0"/>
            <w:vAlign w:val="center"/>
          </w:tcPr>
          <w:p w14:paraId="7E42E57C">
            <w:pPr>
              <w:pStyle w:val="2"/>
              <w:rPr>
                <w:rFonts w:hint="default"/>
                <w:lang w:val="en-US" w:eastAsia="zh-CN"/>
              </w:rPr>
            </w:pPr>
            <w:r>
              <w:rPr>
                <w:rFonts w:hint="eastAsia" w:ascii="宋体" w:hAnsi="宋体" w:eastAsia="宋体" w:cs="Times New Roman"/>
                <w:b w:val="0"/>
                <w:color w:val="auto"/>
                <w:kern w:val="2"/>
                <w:sz w:val="21"/>
                <w:szCs w:val="21"/>
                <w:lang w:val="en-US" w:eastAsia="zh-CN" w:bidi="ar-SA"/>
              </w:rPr>
              <w:t>摆锯(5把）</w:t>
            </w:r>
          </w:p>
        </w:tc>
        <w:tc>
          <w:tcPr>
            <w:tcW w:w="1500" w:type="dxa"/>
            <w:noWrap w:val="0"/>
            <w:vAlign w:val="center"/>
          </w:tcPr>
          <w:p w14:paraId="7049964B">
            <w:pPr>
              <w:widowControl/>
              <w:textAlignment w:val="center"/>
              <w:rPr>
                <w:rFonts w:hint="default" w:ascii="宋体" w:hAnsi="宋体"/>
                <w:szCs w:val="21"/>
                <w:lang w:val="en-US" w:eastAsia="zh-CN"/>
              </w:rPr>
            </w:pPr>
            <w:r>
              <w:rPr>
                <w:rFonts w:hint="eastAsia" w:ascii="宋体" w:hAnsi="宋体"/>
                <w:szCs w:val="21"/>
                <w:lang w:val="en-US" w:eastAsia="zh-CN"/>
              </w:rPr>
              <w:t>手术类型</w:t>
            </w:r>
          </w:p>
        </w:tc>
        <w:tc>
          <w:tcPr>
            <w:tcW w:w="6405" w:type="dxa"/>
            <w:noWrap w:val="0"/>
            <w:vAlign w:val="center"/>
          </w:tcPr>
          <w:p w14:paraId="2D4ED9B2">
            <w:pPr>
              <w:widowControl/>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bidi="ar"/>
              </w:rPr>
              <w:t>动力系统适用于</w:t>
            </w:r>
            <w:r>
              <w:rPr>
                <w:rFonts w:hint="eastAsia" w:ascii="宋体" w:hAnsi="宋体" w:cs="宋体"/>
                <w:color w:val="000000"/>
                <w:kern w:val="0"/>
                <w:szCs w:val="21"/>
                <w:lang w:val="en-US" w:eastAsia="zh-CN" w:bidi="ar"/>
              </w:rPr>
              <w:t>骨科等多类型手术</w:t>
            </w:r>
            <w:r>
              <w:rPr>
                <w:rFonts w:hint="eastAsia" w:ascii="宋体" w:hAnsi="宋体" w:cs="宋体"/>
                <w:color w:val="000000"/>
                <w:kern w:val="0"/>
                <w:szCs w:val="21"/>
                <w:lang w:bidi="ar"/>
              </w:rPr>
              <w:t>。</w:t>
            </w:r>
          </w:p>
        </w:tc>
      </w:tr>
      <w:tr w14:paraId="1DB09E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trPr>
        <w:tc>
          <w:tcPr>
            <w:tcW w:w="1020" w:type="dxa"/>
            <w:vMerge w:val="continue"/>
            <w:noWrap w:val="0"/>
            <w:vAlign w:val="center"/>
          </w:tcPr>
          <w:p w14:paraId="41AC2C90">
            <w:pPr>
              <w:widowControl/>
              <w:textAlignment w:val="center"/>
              <w:rPr>
                <w:rFonts w:hint="eastAsia" w:ascii="宋体" w:hAnsi="宋体"/>
                <w:szCs w:val="21"/>
              </w:rPr>
            </w:pPr>
          </w:p>
        </w:tc>
        <w:tc>
          <w:tcPr>
            <w:tcW w:w="1500" w:type="dxa"/>
            <w:noWrap w:val="0"/>
            <w:vAlign w:val="center"/>
          </w:tcPr>
          <w:p w14:paraId="4C4C15BF">
            <w:pPr>
              <w:widowControl/>
              <w:textAlignment w:val="center"/>
              <w:rPr>
                <w:rFonts w:hint="default" w:ascii="宋体" w:hAnsi="宋体"/>
                <w:szCs w:val="21"/>
                <w:lang w:val="en-US" w:eastAsia="zh-CN"/>
              </w:rPr>
            </w:pPr>
            <w:r>
              <w:rPr>
                <w:rFonts w:hint="eastAsia" w:ascii="宋体" w:hAnsi="宋体"/>
                <w:szCs w:val="21"/>
                <w:lang w:val="en-US" w:eastAsia="zh-CN"/>
              </w:rPr>
              <w:t>主机参数</w:t>
            </w:r>
          </w:p>
        </w:tc>
        <w:tc>
          <w:tcPr>
            <w:tcW w:w="6405" w:type="dxa"/>
            <w:noWrap w:val="0"/>
            <w:vAlign w:val="center"/>
          </w:tcPr>
          <w:p w14:paraId="28A30FE1">
            <w:pPr>
              <w:widowControl/>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1.功率：主机最大输出≥150W 。</w:t>
            </w:r>
          </w:p>
          <w:p w14:paraId="7398A5E5">
            <w:pPr>
              <w:widowControl/>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2.电机类型：有刷电机。</w:t>
            </w:r>
          </w:p>
          <w:p w14:paraId="0EF51DCE">
            <w:pPr>
              <w:widowControl/>
              <w:numPr>
                <w:ilvl w:val="0"/>
                <w:numId w:val="0"/>
              </w:numPr>
              <w:ind w:leftChars="0"/>
              <w:textAlignment w:val="center"/>
              <w:rPr>
                <w:rFonts w:hint="eastAsia"/>
                <w:lang w:val="en-US" w:eastAsia="zh-CN"/>
              </w:rPr>
            </w:pPr>
            <w:r>
              <w:rPr>
                <w:rFonts w:hint="eastAsia" w:ascii="宋体" w:hAnsi="宋体" w:cs="宋体"/>
                <w:color w:val="000000"/>
                <w:kern w:val="0"/>
                <w:szCs w:val="21"/>
                <w:lang w:val="en-US" w:eastAsia="zh-CN" w:bidi="ar"/>
              </w:rPr>
              <w:t>3.转速/频次：</w:t>
            </w:r>
            <w:r>
              <w:rPr>
                <w:rFonts w:hint="eastAsia" w:ascii="宋体" w:hAnsi="宋体"/>
                <w:szCs w:val="21"/>
                <w:lang w:val="en-US" w:eastAsia="zh-CN"/>
              </w:rPr>
              <w:t>空载频次0—</w:t>
            </w:r>
            <w:r>
              <w:rPr>
                <w:rFonts w:hint="eastAsia" w:ascii="宋体" w:hAnsi="宋体" w:cs="宋体"/>
                <w:color w:val="000000"/>
                <w:kern w:val="0"/>
                <w:szCs w:val="21"/>
                <w:lang w:val="en-US" w:eastAsia="zh-CN" w:bidi="ar"/>
              </w:rPr>
              <w:t>18000c</w:t>
            </w:r>
            <w:r>
              <w:rPr>
                <w:rFonts w:hint="eastAsia" w:ascii="宋体" w:hAnsi="宋体" w:cs="宋体"/>
                <w:color w:val="000000"/>
                <w:kern w:val="0"/>
                <w:szCs w:val="21"/>
                <w:lang w:bidi="ar"/>
              </w:rPr>
              <w:t>pm</w:t>
            </w:r>
            <w:r>
              <w:rPr>
                <w:rFonts w:hint="eastAsia" w:ascii="宋体" w:hAnsi="宋体" w:cs="宋体"/>
                <w:color w:val="000000"/>
                <w:kern w:val="0"/>
                <w:szCs w:val="21"/>
                <w:lang w:val="en-US" w:eastAsia="zh-CN" w:bidi="ar"/>
              </w:rPr>
              <w:t xml:space="preserve"> 。</w:t>
            </w:r>
          </w:p>
          <w:p w14:paraId="3F7B103F">
            <w:pPr>
              <w:widowControl/>
              <w:numPr>
                <w:ilvl w:val="0"/>
                <w:numId w:val="0"/>
              </w:numPr>
              <w:textAlignment w:val="center"/>
              <w:rPr>
                <w:rFonts w:hint="eastAsia" w:ascii="宋体" w:hAnsi="宋体" w:eastAsia="宋体"/>
                <w:kern w:val="2"/>
                <w:sz w:val="21"/>
                <w:szCs w:val="21"/>
                <w:lang w:val="en-US" w:eastAsia="zh-CN" w:bidi="ar-SA"/>
              </w:rPr>
            </w:pPr>
            <w:r>
              <w:rPr>
                <w:rFonts w:hint="eastAsia" w:ascii="宋体" w:hAnsi="宋体" w:eastAsia="宋体"/>
                <w:kern w:val="2"/>
                <w:sz w:val="21"/>
                <w:szCs w:val="21"/>
                <w:lang w:val="en-US" w:eastAsia="zh-CN" w:bidi="ar-SA"/>
              </w:rPr>
              <w:t>4.振幅：4°±0.5°。</w:t>
            </w:r>
          </w:p>
          <w:p w14:paraId="1D189182">
            <w:pPr>
              <w:widowControl/>
              <w:textAlignment w:val="center"/>
              <w:rPr>
                <w:rFonts w:hint="eastAsia"/>
                <w:kern w:val="2"/>
                <w:sz w:val="21"/>
                <w:szCs w:val="24"/>
                <w:lang w:val="en-US" w:eastAsia="zh-CN" w:bidi="ar-SA"/>
              </w:rPr>
            </w:pPr>
            <w:r>
              <w:rPr>
                <w:rFonts w:hint="eastAsia" w:ascii="宋体" w:hAnsi="宋体" w:cs="宋体"/>
                <w:color w:val="000000"/>
                <w:kern w:val="0"/>
                <w:szCs w:val="21"/>
                <w:lang w:val="en-US" w:eastAsia="zh-CN" w:bidi="ar"/>
              </w:rPr>
              <w:t>5.空载</w:t>
            </w:r>
            <w:r>
              <w:rPr>
                <w:rFonts w:hint="eastAsia" w:ascii="宋体" w:hAnsi="宋体" w:cs="宋体"/>
                <w:color w:val="000000"/>
                <w:kern w:val="0"/>
                <w:szCs w:val="21"/>
                <w:lang w:bidi="ar"/>
              </w:rPr>
              <w:t>噪声</w:t>
            </w:r>
            <w:r>
              <w:rPr>
                <w:rFonts w:ascii="宋体" w:hAnsi="宋体" w:cs="宋体"/>
                <w:color w:val="000000"/>
                <w:kern w:val="0"/>
                <w:szCs w:val="21"/>
                <w:lang w:bidi="ar"/>
              </w:rPr>
              <w:t>≦</w:t>
            </w:r>
            <w:r>
              <w:rPr>
                <w:rFonts w:hint="eastAsia" w:ascii="宋体" w:hAnsi="宋体" w:cs="宋体"/>
                <w:color w:val="000000"/>
                <w:kern w:val="0"/>
                <w:szCs w:val="21"/>
                <w:lang w:val="en-US" w:eastAsia="zh-CN" w:bidi="ar"/>
              </w:rPr>
              <w:t>75</w:t>
            </w:r>
            <w:r>
              <w:rPr>
                <w:rFonts w:hint="eastAsia" w:ascii="宋体" w:hAnsi="宋体" w:cs="宋体"/>
                <w:color w:val="000000"/>
                <w:kern w:val="0"/>
                <w:szCs w:val="21"/>
                <w:lang w:bidi="ar"/>
              </w:rPr>
              <w:t>db</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w:t>
            </w:r>
          </w:p>
          <w:p w14:paraId="371A173F">
            <w:pPr>
              <w:widowControl/>
              <w:textAlignment w:val="center"/>
              <w:rPr>
                <w:rFonts w:hint="default" w:ascii="宋体" w:hAnsi="宋体" w:eastAsia="宋体" w:cs="宋体"/>
                <w:color w:val="000000"/>
                <w:kern w:val="0"/>
                <w:szCs w:val="21"/>
                <w:lang w:val="en-US" w:eastAsia="zh-CN" w:bidi="ar"/>
              </w:rPr>
            </w:pPr>
            <w:r>
              <w:rPr>
                <w:rFonts w:hint="eastAsia" w:ascii="宋体" w:hAnsi="宋体"/>
                <w:szCs w:val="21"/>
                <w:lang w:val="en-US" w:eastAsia="zh-CN"/>
              </w:rPr>
              <w:t>6.输出端径向圆跳动</w:t>
            </w:r>
            <w:r>
              <w:rPr>
                <w:rFonts w:ascii="宋体" w:hAnsi="宋体" w:cs="宋体"/>
                <w:color w:val="000000"/>
                <w:kern w:val="0"/>
                <w:szCs w:val="21"/>
                <w:lang w:bidi="ar"/>
              </w:rPr>
              <w:t>≦</w:t>
            </w:r>
            <w:r>
              <w:rPr>
                <w:rFonts w:hint="eastAsia" w:ascii="宋体" w:hAnsi="宋体" w:cs="宋体"/>
                <w:color w:val="000000"/>
                <w:kern w:val="0"/>
                <w:szCs w:val="21"/>
                <w:lang w:val="en-US" w:eastAsia="zh-CN" w:bidi="ar"/>
              </w:rPr>
              <w:t>0.1mm 。</w:t>
            </w:r>
          </w:p>
          <w:p w14:paraId="31288C3A">
            <w:pPr>
              <w:widowControl/>
              <w:textAlignment w:val="center"/>
              <w:rPr>
                <w:rFonts w:hint="default" w:ascii="宋体" w:hAnsi="宋体" w:cs="宋体"/>
                <w:color w:val="000000"/>
                <w:kern w:val="0"/>
                <w:szCs w:val="21"/>
                <w:lang w:val="en-US" w:eastAsia="zh-CN" w:bidi="ar"/>
              </w:rPr>
            </w:pPr>
            <w:r>
              <w:rPr>
                <w:rFonts w:hint="eastAsia" w:ascii="宋体" w:hAnsi="宋体"/>
                <w:szCs w:val="21"/>
                <w:lang w:val="en-US" w:eastAsia="zh-CN"/>
              </w:rPr>
              <w:t>7.输出端轴向移动</w:t>
            </w:r>
            <w:r>
              <w:rPr>
                <w:rFonts w:ascii="宋体" w:hAnsi="宋体" w:cs="宋体"/>
                <w:color w:val="000000"/>
                <w:kern w:val="0"/>
                <w:szCs w:val="21"/>
                <w:lang w:bidi="ar"/>
              </w:rPr>
              <w:t>≦</w:t>
            </w:r>
            <w:r>
              <w:rPr>
                <w:rFonts w:hint="eastAsia" w:ascii="宋体" w:hAnsi="宋体" w:cs="宋体"/>
                <w:color w:val="000000"/>
                <w:kern w:val="0"/>
                <w:szCs w:val="21"/>
                <w:lang w:val="en-US" w:eastAsia="zh-CN" w:bidi="ar"/>
              </w:rPr>
              <w:t>0.5mm 。</w:t>
            </w:r>
          </w:p>
          <w:p w14:paraId="35F3419E">
            <w:pPr>
              <w:widowControl/>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8.常温条件下，空载运行5min主机表面温度不超过50C°</w:t>
            </w:r>
            <w:r>
              <w:rPr>
                <w:rFonts w:hint="eastAsia" w:ascii="宋体" w:hAnsi="宋体" w:eastAsia="宋体"/>
                <w:kern w:val="2"/>
                <w:sz w:val="21"/>
                <w:szCs w:val="21"/>
                <w:lang w:val="en-US" w:eastAsia="zh-CN" w:bidi="ar-SA"/>
              </w:rPr>
              <w:t xml:space="preserve"> 。</w:t>
            </w:r>
          </w:p>
          <w:p w14:paraId="4F644DC0">
            <w:pPr>
              <w:widowControl/>
              <w:textAlignment w:val="center"/>
              <w:rPr>
                <w:rFonts w:hint="default" w:ascii="宋体" w:hAnsi="宋体"/>
                <w:szCs w:val="21"/>
                <w:lang w:val="en-US" w:eastAsia="zh-CN"/>
              </w:rPr>
            </w:pPr>
            <w:r>
              <w:rPr>
                <w:rFonts w:hint="eastAsia" w:ascii="宋体" w:hAnsi="宋体" w:cs="宋体"/>
                <w:color w:val="auto"/>
                <w:kern w:val="0"/>
                <w:szCs w:val="21"/>
                <w:lang w:val="en-US" w:eastAsia="zh-CN" w:bidi="ar"/>
              </w:rPr>
              <w:t>9.主机</w:t>
            </w:r>
            <w:r>
              <w:rPr>
                <w:rFonts w:hint="eastAsia" w:ascii="宋体" w:hAnsi="宋体" w:cs="宋体"/>
                <w:color w:val="auto"/>
                <w:kern w:val="0"/>
                <w:szCs w:val="21"/>
                <w:lang w:bidi="ar"/>
              </w:rPr>
              <w:t>重量≦</w:t>
            </w:r>
            <w:r>
              <w:rPr>
                <w:rFonts w:hint="eastAsia" w:ascii="宋体" w:hAnsi="宋体" w:cs="宋体"/>
                <w:color w:val="auto"/>
                <w:kern w:val="0"/>
                <w:szCs w:val="21"/>
                <w:lang w:val="en-US" w:eastAsia="zh-CN" w:bidi="ar"/>
              </w:rPr>
              <w:t>1300g 。</w:t>
            </w:r>
          </w:p>
          <w:p w14:paraId="464CEEE0">
            <w:pPr>
              <w:widowControl/>
              <w:ind w:left="210" w:hanging="210" w:hangingChars="100"/>
              <w:textAlignment w:val="center"/>
              <w:rPr>
                <w:rFonts w:hint="default" w:ascii="宋体" w:hAnsi="宋体" w:eastAsia="宋体"/>
                <w:szCs w:val="21"/>
                <w:lang w:val="en-US" w:eastAsia="zh-CN"/>
              </w:rPr>
            </w:pPr>
            <w:r>
              <w:rPr>
                <w:rFonts w:hint="eastAsia" w:ascii="宋体" w:hAnsi="宋体"/>
                <w:szCs w:val="21"/>
                <w:lang w:val="en-US" w:eastAsia="zh-CN"/>
              </w:rPr>
              <w:t>10.主机机身一体化铝合金设计，更加贴近人体工程学的弧度设计，握感舒适。</w:t>
            </w:r>
          </w:p>
          <w:p w14:paraId="18A74301">
            <w:pPr>
              <w:widowControl/>
              <w:textAlignment w:val="center"/>
              <w:rPr>
                <w:rFonts w:hint="eastAsia" w:ascii="宋体" w:hAnsi="宋体"/>
                <w:szCs w:val="21"/>
                <w:lang w:val="en-US" w:eastAsia="zh-CN"/>
              </w:rPr>
            </w:pPr>
            <w:r>
              <w:rPr>
                <w:rFonts w:hint="eastAsia" w:ascii="宋体" w:hAnsi="宋体"/>
                <w:szCs w:val="21"/>
                <w:lang w:val="en-US" w:eastAsia="zh-CN"/>
              </w:rPr>
              <w:t>11.主机采用一体式电池仓（不可拆卸）。</w:t>
            </w:r>
          </w:p>
          <w:p w14:paraId="45A5BC76">
            <w:pPr>
              <w:widowControl/>
              <w:textAlignment w:val="center"/>
              <w:rPr>
                <w:rFonts w:hint="eastAsia" w:ascii="宋体" w:hAnsi="宋体"/>
                <w:szCs w:val="21"/>
                <w:lang w:val="en-US" w:eastAsia="zh-CN"/>
              </w:rPr>
            </w:pPr>
            <w:r>
              <w:rPr>
                <w:rFonts w:hint="eastAsia" w:ascii="宋体" w:hAnsi="宋体"/>
                <w:szCs w:val="21"/>
                <w:lang w:val="en-US" w:eastAsia="zh-CN"/>
              </w:rPr>
              <w:t>12.仓盖采用旋钮旋转≥180°弹性抗震锁定结构，结构更加稳定。</w:t>
            </w:r>
          </w:p>
          <w:p w14:paraId="30B82ABC">
            <w:pPr>
              <w:widowControl/>
              <w:ind w:left="210" w:hanging="210" w:hangingChars="100"/>
              <w:textAlignment w:val="center"/>
              <w:rPr>
                <w:rFonts w:hint="default"/>
                <w:lang w:val="en-US" w:eastAsia="zh-CN"/>
              </w:rPr>
            </w:pPr>
            <w:r>
              <w:rPr>
                <w:rFonts w:hint="eastAsia" w:ascii="宋体" w:hAnsi="宋体"/>
                <w:szCs w:val="21"/>
                <w:lang w:val="en-US" w:eastAsia="zh-CN"/>
              </w:rPr>
              <w:t>13.主机锯片安装接口为快装式，可以快速更换锯片，并可实现在锯片平行面内360°旋转中的五个角度安装使用，可应用于手术中不同使用场景。</w:t>
            </w:r>
          </w:p>
        </w:tc>
      </w:tr>
      <w:tr w14:paraId="7D61D3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020" w:type="dxa"/>
            <w:vMerge w:val="continue"/>
            <w:noWrap w:val="0"/>
            <w:vAlign w:val="center"/>
          </w:tcPr>
          <w:p w14:paraId="44C76B62">
            <w:pPr>
              <w:widowControl/>
              <w:textAlignment w:val="center"/>
              <w:rPr>
                <w:rFonts w:hint="eastAsia" w:ascii="宋体" w:hAnsi="宋体"/>
                <w:szCs w:val="21"/>
              </w:rPr>
            </w:pPr>
          </w:p>
        </w:tc>
        <w:tc>
          <w:tcPr>
            <w:tcW w:w="1500" w:type="dxa"/>
            <w:noWrap w:val="0"/>
            <w:vAlign w:val="center"/>
          </w:tcPr>
          <w:p w14:paraId="5E77224A">
            <w:pPr>
              <w:widowControl/>
              <w:textAlignment w:val="center"/>
              <w:rPr>
                <w:rFonts w:hint="eastAsia" w:ascii="宋体" w:hAnsi="宋体"/>
                <w:szCs w:val="21"/>
                <w:lang w:val="en-US" w:eastAsia="zh-CN"/>
              </w:rPr>
            </w:pPr>
            <w:r>
              <w:rPr>
                <w:rFonts w:hint="eastAsia" w:ascii="宋体" w:hAnsi="宋体"/>
                <w:szCs w:val="21"/>
                <w:lang w:val="en-US" w:eastAsia="zh-CN"/>
              </w:rPr>
              <w:t>充电器参数</w:t>
            </w:r>
          </w:p>
        </w:tc>
        <w:tc>
          <w:tcPr>
            <w:tcW w:w="6405" w:type="dxa"/>
            <w:noWrap w:val="0"/>
            <w:vAlign w:val="center"/>
          </w:tcPr>
          <w:p w14:paraId="42DC4164">
            <w:pPr>
              <w:widowControl/>
              <w:numPr>
                <w:ilvl w:val="0"/>
                <w:numId w:val="0"/>
              </w:numPr>
              <w:textAlignment w:val="center"/>
              <w:rPr>
                <w:rFonts w:hint="eastAsia" w:ascii="宋体" w:hAnsi="宋体"/>
                <w:szCs w:val="21"/>
                <w:lang w:val="en-US" w:eastAsia="zh-CN"/>
              </w:rPr>
            </w:pPr>
            <w:r>
              <w:rPr>
                <w:rFonts w:hint="eastAsia" w:ascii="宋体" w:hAnsi="宋体"/>
                <w:szCs w:val="21"/>
                <w:lang w:val="en-US" w:eastAsia="zh-CN"/>
              </w:rPr>
              <w:t>1.充电器可采用110V~220V宽频交流供电。</w:t>
            </w:r>
          </w:p>
          <w:p w14:paraId="08AB49ED">
            <w:pPr>
              <w:widowControl/>
              <w:numPr>
                <w:ilvl w:val="0"/>
                <w:numId w:val="0"/>
              </w:numPr>
              <w:ind w:left="210" w:hanging="210" w:hangingChars="100"/>
              <w:textAlignment w:val="center"/>
              <w:rPr>
                <w:rFonts w:hint="default"/>
                <w:lang w:val="en-US" w:eastAsia="zh-CN"/>
              </w:rPr>
            </w:pPr>
            <w:r>
              <w:rPr>
                <w:rFonts w:hint="eastAsia" w:ascii="宋体" w:hAnsi="宋体"/>
                <w:szCs w:val="21"/>
                <w:lang w:val="en-US" w:eastAsia="zh-CN"/>
              </w:rPr>
              <w:t>2.具有电量显示、电量检测功能。应用于术前电池电量检测，以及电池充电过程电量实时显示。</w:t>
            </w:r>
          </w:p>
        </w:tc>
      </w:tr>
      <w:tr w14:paraId="4C2959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020" w:type="dxa"/>
            <w:vMerge w:val="continue"/>
            <w:noWrap w:val="0"/>
            <w:vAlign w:val="center"/>
          </w:tcPr>
          <w:p w14:paraId="0C86C25B">
            <w:pPr>
              <w:widowControl/>
              <w:textAlignment w:val="center"/>
              <w:rPr>
                <w:rFonts w:hint="eastAsia" w:ascii="宋体" w:hAnsi="宋体"/>
                <w:szCs w:val="21"/>
              </w:rPr>
            </w:pPr>
          </w:p>
        </w:tc>
        <w:tc>
          <w:tcPr>
            <w:tcW w:w="1500" w:type="dxa"/>
            <w:noWrap w:val="0"/>
            <w:vAlign w:val="center"/>
          </w:tcPr>
          <w:p w14:paraId="687B0414">
            <w:pPr>
              <w:widowControl/>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电池：</w:t>
            </w:r>
          </w:p>
          <w:p w14:paraId="70D52790">
            <w:pPr>
              <w:widowControl/>
              <w:textAlignment w:val="center"/>
              <w:rPr>
                <w:rFonts w:hint="eastAsia" w:ascii="宋体" w:hAnsi="宋体"/>
                <w:szCs w:val="21"/>
                <w:lang w:val="en-US" w:eastAsia="zh-CN"/>
              </w:rPr>
            </w:pPr>
          </w:p>
        </w:tc>
        <w:tc>
          <w:tcPr>
            <w:tcW w:w="6405" w:type="dxa"/>
            <w:noWrap w:val="0"/>
            <w:vAlign w:val="center"/>
          </w:tcPr>
          <w:p w14:paraId="7587BC2C">
            <w:pPr>
              <w:widowControl/>
              <w:numPr>
                <w:ilvl w:val="0"/>
                <w:numId w:val="0"/>
              </w:numPr>
              <w:jc w:val="left"/>
              <w:textAlignment w:val="center"/>
              <w:rPr>
                <w:rFonts w:hint="eastAsia" w:ascii="宋体" w:hAnsi="宋体"/>
                <w:szCs w:val="21"/>
                <w:lang w:val="en-US" w:eastAsia="zh-CN"/>
              </w:rPr>
            </w:pPr>
            <w:r>
              <w:rPr>
                <w:rFonts w:hint="eastAsia" w:ascii="宋体" w:hAnsi="宋体" w:cs="宋体"/>
                <w:color w:val="000000"/>
                <w:kern w:val="0"/>
                <w:szCs w:val="21"/>
                <w:lang w:val="en-US" w:eastAsia="zh-CN" w:bidi="ar"/>
              </w:rPr>
              <w:t>1.</w:t>
            </w:r>
            <w:r>
              <w:rPr>
                <w:rFonts w:hint="eastAsia" w:ascii="宋体" w:hAnsi="宋体"/>
                <w:szCs w:val="21"/>
                <w:lang w:val="en-US" w:eastAsia="zh-CN"/>
              </w:rPr>
              <w:t>电池采用锂电池。</w:t>
            </w:r>
          </w:p>
          <w:p w14:paraId="3E2C55F5">
            <w:pPr>
              <w:widowControl/>
              <w:numPr>
                <w:ilvl w:val="0"/>
                <w:numId w:val="0"/>
              </w:numPr>
              <w:ind w:left="210" w:hanging="210" w:hangingChars="100"/>
              <w:jc w:val="left"/>
              <w:textAlignment w:val="center"/>
              <w:rPr>
                <w:rFonts w:hint="default" w:ascii="宋体" w:hAnsi="宋体" w:cs="宋体"/>
                <w:color w:val="000000"/>
                <w:kern w:val="0"/>
                <w:szCs w:val="21"/>
                <w:lang w:val="en-US" w:eastAsia="zh-CN" w:bidi="ar"/>
              </w:rPr>
            </w:pPr>
            <w:r>
              <w:rPr>
                <w:rFonts w:hint="eastAsia" w:ascii="宋体" w:hAnsi="宋体"/>
                <w:szCs w:val="21"/>
                <w:lang w:val="en-US" w:eastAsia="zh-CN"/>
              </w:rPr>
              <w:t>2.电芯采用钢质外壳，相比传统软包锂电池更加安全可靠。</w:t>
            </w:r>
          </w:p>
          <w:p w14:paraId="00C75B5C">
            <w:pPr>
              <w:widowControl/>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3.额定电压14.8V</w:t>
            </w:r>
            <w:r>
              <w:rPr>
                <w:rFonts w:hint="eastAsia" w:ascii="宋体" w:hAnsi="宋体" w:eastAsia="宋体"/>
                <w:kern w:val="2"/>
                <w:sz w:val="21"/>
                <w:szCs w:val="21"/>
                <w:lang w:val="en-US" w:eastAsia="zh-CN" w:bidi="ar-SA"/>
              </w:rPr>
              <w:t xml:space="preserve"> ±1 。</w:t>
            </w:r>
          </w:p>
          <w:p w14:paraId="07870167">
            <w:pPr>
              <w:widowControl/>
              <w:textAlignment w:val="center"/>
              <w:rPr>
                <w:rFonts w:hint="eastAsia" w:ascii="宋体" w:hAnsi="宋体"/>
                <w:szCs w:val="21"/>
                <w:lang w:val="en-US" w:eastAsia="zh-CN"/>
              </w:rPr>
            </w:pPr>
            <w:r>
              <w:rPr>
                <w:rFonts w:hint="eastAsia" w:ascii="宋体" w:hAnsi="宋体" w:cs="宋体"/>
                <w:color w:val="000000"/>
                <w:kern w:val="0"/>
                <w:szCs w:val="21"/>
                <w:lang w:val="en-US" w:eastAsia="zh-CN" w:bidi="ar"/>
              </w:rPr>
              <w:t>4.容量≥3000mA</w:t>
            </w:r>
            <w:r>
              <w:rPr>
                <w:rFonts w:hint="eastAsia" w:ascii="宋体" w:hAnsi="宋体" w:eastAsia="宋体"/>
                <w:kern w:val="2"/>
                <w:sz w:val="21"/>
                <w:szCs w:val="21"/>
                <w:lang w:val="en-US" w:eastAsia="zh-CN" w:bidi="ar-SA"/>
              </w:rPr>
              <w:t>。</w:t>
            </w:r>
          </w:p>
          <w:p w14:paraId="623603AF">
            <w:pPr>
              <w:widowControl/>
              <w:textAlignment w:val="center"/>
              <w:rPr>
                <w:rFonts w:hint="default" w:ascii="宋体" w:hAnsi="宋体"/>
                <w:szCs w:val="21"/>
                <w:lang w:val="en-US" w:eastAsia="zh-CN"/>
              </w:rPr>
            </w:pPr>
            <w:r>
              <w:rPr>
                <w:rFonts w:hint="eastAsia" w:ascii="宋体" w:hAnsi="宋体" w:cs="宋体"/>
                <w:color w:val="000000"/>
                <w:kern w:val="0"/>
                <w:szCs w:val="21"/>
                <w:lang w:val="en-US" w:eastAsia="zh-CN" w:bidi="ar"/>
              </w:rPr>
              <w:t>5.标准充电3.5小时左右，快速充电时间2小时左右。</w:t>
            </w:r>
          </w:p>
          <w:p w14:paraId="3607BB32">
            <w:pPr>
              <w:widowControl/>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r>
              <w:rPr>
                <w:rFonts w:hint="eastAsia" w:ascii="宋体" w:hAnsi="宋体" w:eastAsia="宋体" w:cs="宋体"/>
                <w:color w:val="000000"/>
                <w:kern w:val="0"/>
                <w:szCs w:val="21"/>
                <w:lang w:val="en-US" w:eastAsia="zh-CN" w:bidi="ar"/>
              </w:rPr>
              <w:t>.充满电后的电池，在1A的放电电流下，放电时间≥30分钟。</w:t>
            </w:r>
          </w:p>
          <w:p w14:paraId="2E6DC078">
            <w:pPr>
              <w:widowControl/>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7.配≥3000mA大容量电池，满足长续航需求。</w:t>
            </w:r>
          </w:p>
          <w:p w14:paraId="5FFB90A9">
            <w:pPr>
              <w:widowControl/>
              <w:textAlignment w:val="center"/>
              <w:rPr>
                <w:rFonts w:hint="eastAsia"/>
                <w:lang w:val="en-US" w:eastAsia="zh-CN"/>
              </w:rPr>
            </w:pPr>
            <w:r>
              <w:rPr>
                <w:rFonts w:hint="eastAsia" w:ascii="宋体" w:hAnsi="宋体" w:eastAsia="宋体" w:cs="宋体"/>
                <w:color w:val="000000"/>
                <w:kern w:val="0"/>
                <w:szCs w:val="21"/>
                <w:lang w:val="en-US" w:eastAsia="zh-CN" w:bidi="ar"/>
              </w:rPr>
              <w:t>8、每把摆锯配≥3块电池。</w:t>
            </w:r>
          </w:p>
        </w:tc>
      </w:tr>
    </w:tbl>
    <w:tbl>
      <w:tblPr>
        <w:tblStyle w:val="12"/>
        <w:tblpPr w:leftFromText="180" w:rightFromText="180" w:vertAnchor="text" w:horzAnchor="page" w:tblpX="1630" w:tblpY="4015"/>
        <w:tblOverlap w:val="never"/>
        <w:tblW w:w="89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00"/>
        <w:gridCol w:w="6405"/>
      </w:tblGrid>
      <w:tr w14:paraId="77230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5" w:type="dxa"/>
            <w:gridSpan w:val="3"/>
            <w:noWrap w:val="0"/>
            <w:vAlign w:val="center"/>
          </w:tcPr>
          <w:p w14:paraId="6F314DA5">
            <w:pPr>
              <w:widowControl/>
              <w:textAlignment w:val="center"/>
              <w:rPr>
                <w:rFonts w:hint="eastAsia" w:ascii="宋体" w:hAnsi="宋体"/>
                <w:szCs w:val="21"/>
              </w:rPr>
            </w:pPr>
            <w:r>
              <w:rPr>
                <w:rFonts w:hint="eastAsia" w:ascii="宋体" w:hAnsi="宋体" w:cs="宋体"/>
                <w:b/>
                <w:bCs/>
                <w:color w:val="000000"/>
                <w:kern w:val="0"/>
                <w:szCs w:val="21"/>
                <w:lang w:val="en-US" w:eastAsia="zh-CN" w:bidi="ar"/>
              </w:rPr>
              <w:t>（二）空心钻</w:t>
            </w:r>
            <w:r>
              <w:rPr>
                <w:rFonts w:hint="eastAsia" w:ascii="宋体" w:hAnsi="宋体" w:cs="宋体"/>
                <w:b/>
                <w:bCs/>
                <w:color w:val="000000"/>
                <w:kern w:val="0"/>
                <w:szCs w:val="21"/>
                <w:lang w:bidi="ar"/>
              </w:rPr>
              <w:t>主要技术参数</w:t>
            </w:r>
          </w:p>
        </w:tc>
      </w:tr>
      <w:tr w14:paraId="3D4726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20" w:type="dxa"/>
            <w:vMerge w:val="restart"/>
            <w:noWrap w:val="0"/>
            <w:vAlign w:val="center"/>
          </w:tcPr>
          <w:p w14:paraId="49796FE6">
            <w:pPr>
              <w:pStyle w:val="2"/>
              <w:rPr>
                <w:rFonts w:hint="eastAsia" w:ascii="宋体" w:hAnsi="宋体" w:eastAsia="宋体" w:cs="Times New Roman"/>
                <w:b w:val="0"/>
                <w:color w:val="auto"/>
                <w:kern w:val="2"/>
                <w:sz w:val="21"/>
                <w:szCs w:val="21"/>
                <w:lang w:val="en-US" w:eastAsia="zh-CN" w:bidi="ar-SA"/>
              </w:rPr>
            </w:pPr>
            <w:r>
              <w:rPr>
                <w:rFonts w:hint="eastAsia" w:ascii="宋体" w:hAnsi="宋体" w:eastAsia="宋体" w:cs="Times New Roman"/>
                <w:b w:val="0"/>
                <w:color w:val="auto"/>
                <w:kern w:val="2"/>
                <w:sz w:val="21"/>
                <w:szCs w:val="21"/>
                <w:lang w:val="en-US" w:eastAsia="zh-CN" w:bidi="ar-SA"/>
              </w:rPr>
              <w:t>空心钻（10把）</w:t>
            </w:r>
          </w:p>
          <w:p w14:paraId="5FF8E7FB">
            <w:pPr>
              <w:rPr>
                <w:rFonts w:hint="eastAsia" w:ascii="宋体" w:hAnsi="宋体" w:eastAsia="宋体" w:cs="Times New Roman"/>
                <w:b w:val="0"/>
                <w:color w:val="auto"/>
                <w:kern w:val="2"/>
                <w:sz w:val="21"/>
                <w:szCs w:val="21"/>
                <w:lang w:val="en-US" w:eastAsia="zh-CN" w:bidi="ar-SA"/>
              </w:rPr>
            </w:pPr>
          </w:p>
          <w:p w14:paraId="1B57202D">
            <w:pPr>
              <w:pStyle w:val="2"/>
              <w:rPr>
                <w:rFonts w:hint="default"/>
                <w:lang w:val="en-US" w:eastAsia="zh-CN"/>
              </w:rPr>
            </w:pPr>
          </w:p>
        </w:tc>
        <w:tc>
          <w:tcPr>
            <w:tcW w:w="1500" w:type="dxa"/>
            <w:noWrap w:val="0"/>
            <w:vAlign w:val="center"/>
          </w:tcPr>
          <w:p w14:paraId="55D5FCC5">
            <w:pPr>
              <w:widowControl/>
              <w:textAlignment w:val="center"/>
              <w:rPr>
                <w:rFonts w:hint="default" w:ascii="宋体" w:hAnsi="宋体"/>
                <w:szCs w:val="21"/>
                <w:lang w:val="en-US" w:eastAsia="zh-CN"/>
              </w:rPr>
            </w:pPr>
            <w:r>
              <w:rPr>
                <w:rFonts w:hint="eastAsia" w:ascii="宋体" w:hAnsi="宋体"/>
                <w:szCs w:val="21"/>
                <w:lang w:val="en-US" w:eastAsia="zh-CN"/>
              </w:rPr>
              <w:t>手术类型</w:t>
            </w:r>
          </w:p>
        </w:tc>
        <w:tc>
          <w:tcPr>
            <w:tcW w:w="6405" w:type="dxa"/>
            <w:noWrap w:val="0"/>
            <w:vAlign w:val="center"/>
          </w:tcPr>
          <w:p w14:paraId="30F9C6E4">
            <w:pPr>
              <w:widowControl/>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bidi="ar"/>
              </w:rPr>
              <w:t>动力系统适用于</w:t>
            </w:r>
            <w:r>
              <w:rPr>
                <w:rFonts w:hint="eastAsia" w:ascii="宋体" w:hAnsi="宋体" w:cs="宋体"/>
                <w:color w:val="000000"/>
                <w:kern w:val="0"/>
                <w:szCs w:val="21"/>
                <w:lang w:val="en-US" w:eastAsia="zh-CN" w:bidi="ar"/>
              </w:rPr>
              <w:t>骨科等多类型手术</w:t>
            </w:r>
            <w:r>
              <w:rPr>
                <w:rFonts w:hint="eastAsia" w:ascii="宋体" w:hAnsi="宋体" w:cs="宋体"/>
                <w:color w:val="000000"/>
                <w:kern w:val="0"/>
                <w:szCs w:val="21"/>
                <w:lang w:bidi="ar"/>
              </w:rPr>
              <w:t>。</w:t>
            </w:r>
          </w:p>
        </w:tc>
      </w:tr>
      <w:tr w14:paraId="7ED2C3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trPr>
        <w:tc>
          <w:tcPr>
            <w:tcW w:w="1020" w:type="dxa"/>
            <w:vMerge w:val="continue"/>
            <w:noWrap w:val="0"/>
            <w:vAlign w:val="center"/>
          </w:tcPr>
          <w:p w14:paraId="252542AC">
            <w:pPr>
              <w:widowControl/>
              <w:textAlignment w:val="center"/>
              <w:rPr>
                <w:rFonts w:hint="eastAsia" w:ascii="宋体" w:hAnsi="宋体"/>
                <w:szCs w:val="21"/>
              </w:rPr>
            </w:pPr>
          </w:p>
        </w:tc>
        <w:tc>
          <w:tcPr>
            <w:tcW w:w="1500" w:type="dxa"/>
            <w:noWrap w:val="0"/>
            <w:vAlign w:val="center"/>
          </w:tcPr>
          <w:p w14:paraId="4094F5F3">
            <w:pPr>
              <w:widowControl/>
              <w:textAlignment w:val="center"/>
              <w:rPr>
                <w:rFonts w:hint="default" w:ascii="宋体" w:hAnsi="宋体"/>
                <w:szCs w:val="21"/>
                <w:lang w:val="en-US" w:eastAsia="zh-CN"/>
              </w:rPr>
            </w:pPr>
            <w:r>
              <w:rPr>
                <w:rFonts w:hint="eastAsia" w:ascii="宋体" w:hAnsi="宋体"/>
                <w:szCs w:val="21"/>
                <w:lang w:val="en-US" w:eastAsia="zh-CN"/>
              </w:rPr>
              <w:t>主机参数</w:t>
            </w:r>
          </w:p>
        </w:tc>
        <w:tc>
          <w:tcPr>
            <w:tcW w:w="6405" w:type="dxa"/>
            <w:noWrap w:val="0"/>
            <w:vAlign w:val="center"/>
          </w:tcPr>
          <w:p w14:paraId="7F14B9C0">
            <w:pPr>
              <w:widowControl/>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1.功率：主机最大输出≥150W 。</w:t>
            </w:r>
          </w:p>
          <w:p w14:paraId="6041F76E">
            <w:pPr>
              <w:widowControl/>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2.电机类型：有刷电机。</w:t>
            </w:r>
          </w:p>
          <w:p w14:paraId="146BD714">
            <w:pPr>
              <w:widowControl/>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3.转速/频次：</w:t>
            </w:r>
            <w:r>
              <w:rPr>
                <w:rFonts w:hint="eastAsia" w:ascii="宋体" w:hAnsi="宋体"/>
                <w:szCs w:val="21"/>
                <w:lang w:val="en-US" w:eastAsia="zh-CN"/>
              </w:rPr>
              <w:t>空载转速0—</w:t>
            </w:r>
            <w:r>
              <w:rPr>
                <w:rFonts w:hint="eastAsia" w:ascii="宋体" w:hAnsi="宋体" w:cs="宋体"/>
                <w:color w:val="000000"/>
                <w:kern w:val="0"/>
                <w:szCs w:val="21"/>
                <w:lang w:val="en-US" w:eastAsia="zh-CN" w:bidi="ar"/>
              </w:rPr>
              <w:t>1000r</w:t>
            </w:r>
            <w:r>
              <w:rPr>
                <w:rFonts w:hint="eastAsia" w:ascii="宋体" w:hAnsi="宋体" w:cs="宋体"/>
                <w:color w:val="000000"/>
                <w:kern w:val="0"/>
                <w:szCs w:val="21"/>
                <w:lang w:bidi="ar"/>
              </w:rPr>
              <w:t>pm</w:t>
            </w:r>
            <w:r>
              <w:rPr>
                <w:rFonts w:hint="eastAsia" w:ascii="宋体" w:hAnsi="宋体" w:cs="宋体"/>
                <w:color w:val="000000"/>
                <w:kern w:val="0"/>
                <w:szCs w:val="21"/>
                <w:lang w:val="en-US" w:eastAsia="zh-CN" w:bidi="ar"/>
              </w:rPr>
              <w:t xml:space="preserve"> </w:t>
            </w:r>
          </w:p>
          <w:p w14:paraId="4A08658E">
            <w:pPr>
              <w:widowControl/>
              <w:textAlignment w:val="center"/>
              <w:rPr>
                <w:rFonts w:hint="default"/>
                <w:lang w:val="en-US" w:eastAsia="zh-CN"/>
              </w:rPr>
            </w:pPr>
            <w:r>
              <w:rPr>
                <w:rFonts w:hint="eastAsia" w:ascii="宋体" w:hAnsi="宋体" w:eastAsia="宋体"/>
                <w:kern w:val="2"/>
                <w:sz w:val="21"/>
                <w:szCs w:val="21"/>
                <w:lang w:val="en-US" w:eastAsia="zh-CN" w:bidi="ar-SA"/>
              </w:rPr>
              <w:t>4.扭矩：输出扭矩0</w:t>
            </w:r>
            <w:r>
              <w:rPr>
                <w:rFonts w:hint="eastAsia" w:ascii="宋体" w:hAnsi="宋体"/>
                <w:szCs w:val="21"/>
                <w:lang w:val="en-US" w:eastAsia="zh-CN"/>
              </w:rPr>
              <w:t>—</w:t>
            </w:r>
            <w:r>
              <w:rPr>
                <w:rFonts w:hint="eastAsia" w:ascii="宋体" w:hAnsi="宋体" w:eastAsia="宋体"/>
                <w:kern w:val="2"/>
                <w:sz w:val="21"/>
                <w:szCs w:val="21"/>
                <w:lang w:val="en-US" w:eastAsia="zh-CN" w:bidi="ar-SA"/>
              </w:rPr>
              <w:t>3.5N.M，冲击扭矩最高8.5N.M 。</w:t>
            </w:r>
          </w:p>
          <w:p w14:paraId="2FFF2340">
            <w:pPr>
              <w:widowControl/>
              <w:textAlignment w:val="center"/>
              <w:rPr>
                <w:rFonts w:hint="default" w:ascii="宋体" w:hAnsi="宋体" w:eastAsia="宋体"/>
                <w:kern w:val="2"/>
                <w:sz w:val="21"/>
                <w:szCs w:val="21"/>
                <w:lang w:val="en-US" w:eastAsia="zh-CN" w:bidi="ar-SA"/>
              </w:rPr>
            </w:pPr>
            <w:r>
              <w:rPr>
                <w:rFonts w:hint="eastAsia" w:ascii="宋体" w:hAnsi="宋体" w:eastAsia="宋体"/>
                <w:kern w:val="2"/>
                <w:sz w:val="21"/>
                <w:szCs w:val="21"/>
                <w:lang w:val="en-US" w:eastAsia="zh-CN" w:bidi="ar-SA"/>
              </w:rPr>
              <w:t>5.夹头夹持范围：0.8</w:t>
            </w:r>
            <w:r>
              <w:rPr>
                <w:rFonts w:hint="eastAsia" w:ascii="宋体" w:hAnsi="宋体"/>
                <w:szCs w:val="21"/>
                <w:lang w:val="en-US" w:eastAsia="zh-CN"/>
              </w:rPr>
              <w:t>—</w:t>
            </w:r>
            <w:r>
              <w:rPr>
                <w:rFonts w:hint="eastAsia" w:ascii="宋体" w:hAnsi="宋体" w:eastAsia="宋体"/>
                <w:kern w:val="2"/>
                <w:sz w:val="21"/>
                <w:szCs w:val="21"/>
                <w:lang w:val="en-US" w:eastAsia="zh-CN" w:bidi="ar-SA"/>
              </w:rPr>
              <w:t>7.9mm 。</w:t>
            </w:r>
          </w:p>
          <w:p w14:paraId="794FD04E">
            <w:pPr>
              <w:widowControl/>
              <w:textAlignment w:val="center"/>
              <w:rPr>
                <w:rFonts w:hint="eastAsia"/>
                <w:kern w:val="2"/>
                <w:sz w:val="21"/>
                <w:szCs w:val="24"/>
                <w:lang w:val="en-US" w:eastAsia="zh-CN" w:bidi="ar-SA"/>
              </w:rPr>
            </w:pPr>
            <w:r>
              <w:rPr>
                <w:rFonts w:hint="eastAsia" w:ascii="宋体" w:hAnsi="宋体" w:cs="宋体"/>
                <w:color w:val="000000"/>
                <w:kern w:val="0"/>
                <w:szCs w:val="21"/>
                <w:lang w:val="en-US" w:eastAsia="zh-CN" w:bidi="ar"/>
              </w:rPr>
              <w:t>6.空载</w:t>
            </w:r>
            <w:r>
              <w:rPr>
                <w:rFonts w:hint="eastAsia" w:ascii="宋体" w:hAnsi="宋体" w:cs="宋体"/>
                <w:color w:val="000000"/>
                <w:kern w:val="0"/>
                <w:szCs w:val="21"/>
                <w:lang w:bidi="ar"/>
              </w:rPr>
              <w:t>噪声</w:t>
            </w:r>
            <w:r>
              <w:rPr>
                <w:rFonts w:ascii="宋体" w:hAnsi="宋体" w:cs="宋体"/>
                <w:color w:val="000000"/>
                <w:kern w:val="0"/>
                <w:szCs w:val="21"/>
                <w:lang w:bidi="ar"/>
              </w:rPr>
              <w:t>≦</w:t>
            </w:r>
            <w:r>
              <w:rPr>
                <w:rFonts w:hint="eastAsia" w:ascii="宋体" w:hAnsi="宋体" w:cs="宋体"/>
                <w:color w:val="000000"/>
                <w:kern w:val="0"/>
                <w:szCs w:val="21"/>
                <w:lang w:bidi="ar"/>
              </w:rPr>
              <w:t>75db</w:t>
            </w:r>
            <w:r>
              <w:rPr>
                <w:rFonts w:hint="eastAsia" w:ascii="宋体" w:hAnsi="宋体" w:eastAsia="宋体"/>
                <w:kern w:val="2"/>
                <w:sz w:val="21"/>
                <w:szCs w:val="21"/>
                <w:lang w:val="en-US" w:eastAsia="zh-CN" w:bidi="ar-SA"/>
              </w:rPr>
              <w:t xml:space="preserve"> 。</w:t>
            </w:r>
          </w:p>
          <w:p w14:paraId="307E7B79">
            <w:pPr>
              <w:widowControl/>
              <w:textAlignment w:val="center"/>
              <w:rPr>
                <w:rFonts w:hint="default" w:ascii="宋体" w:hAnsi="宋体" w:eastAsia="宋体" w:cs="宋体"/>
                <w:color w:val="000000"/>
                <w:kern w:val="0"/>
                <w:szCs w:val="21"/>
                <w:lang w:val="en-US" w:eastAsia="zh-CN" w:bidi="ar"/>
              </w:rPr>
            </w:pPr>
            <w:r>
              <w:rPr>
                <w:rFonts w:hint="eastAsia" w:ascii="宋体" w:hAnsi="宋体"/>
                <w:szCs w:val="21"/>
                <w:lang w:val="en-US" w:eastAsia="zh-CN"/>
              </w:rPr>
              <w:t>7.输出端径向圆跳动</w:t>
            </w:r>
            <w:r>
              <w:rPr>
                <w:rFonts w:ascii="宋体" w:hAnsi="宋体" w:cs="宋体"/>
                <w:color w:val="000000"/>
                <w:kern w:val="0"/>
                <w:szCs w:val="21"/>
                <w:lang w:bidi="ar"/>
              </w:rPr>
              <w:t>≦</w:t>
            </w:r>
            <w:r>
              <w:rPr>
                <w:rFonts w:hint="eastAsia" w:ascii="宋体" w:hAnsi="宋体" w:cs="宋体"/>
                <w:color w:val="000000"/>
                <w:kern w:val="0"/>
                <w:szCs w:val="21"/>
                <w:lang w:val="en-US" w:eastAsia="zh-CN" w:bidi="ar"/>
              </w:rPr>
              <w:t>0.1mm 。</w:t>
            </w:r>
          </w:p>
          <w:p w14:paraId="1C230107">
            <w:pPr>
              <w:widowControl/>
              <w:textAlignment w:val="center"/>
              <w:rPr>
                <w:rFonts w:hint="default" w:ascii="宋体" w:hAnsi="宋体" w:cs="宋体"/>
                <w:color w:val="000000"/>
                <w:kern w:val="0"/>
                <w:szCs w:val="21"/>
                <w:lang w:val="en-US" w:eastAsia="zh-CN" w:bidi="ar"/>
              </w:rPr>
            </w:pPr>
            <w:r>
              <w:rPr>
                <w:rFonts w:hint="eastAsia" w:ascii="宋体" w:hAnsi="宋体"/>
                <w:szCs w:val="21"/>
                <w:lang w:val="en-US" w:eastAsia="zh-CN"/>
              </w:rPr>
              <w:t>8.输出端轴向移动</w:t>
            </w:r>
            <w:r>
              <w:rPr>
                <w:rFonts w:ascii="宋体" w:hAnsi="宋体" w:cs="宋体"/>
                <w:color w:val="000000"/>
                <w:kern w:val="0"/>
                <w:szCs w:val="21"/>
                <w:lang w:bidi="ar"/>
              </w:rPr>
              <w:t>≦</w:t>
            </w:r>
            <w:r>
              <w:rPr>
                <w:rFonts w:hint="eastAsia" w:ascii="宋体" w:hAnsi="宋体" w:cs="宋体"/>
                <w:color w:val="000000"/>
                <w:kern w:val="0"/>
                <w:szCs w:val="21"/>
                <w:lang w:val="en-US" w:eastAsia="zh-CN" w:bidi="ar"/>
              </w:rPr>
              <w:t>0.5mm 。</w:t>
            </w:r>
          </w:p>
          <w:p w14:paraId="1D60F522">
            <w:pPr>
              <w:widowControl/>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9.常温条件下，空载运行5min主机表面温度不超过50C°</w:t>
            </w:r>
            <w:r>
              <w:rPr>
                <w:rFonts w:hint="eastAsia" w:ascii="宋体" w:hAnsi="宋体" w:eastAsia="宋体"/>
                <w:kern w:val="2"/>
                <w:sz w:val="21"/>
                <w:szCs w:val="21"/>
                <w:lang w:val="en-US" w:eastAsia="zh-CN" w:bidi="ar-SA"/>
              </w:rPr>
              <w:t xml:space="preserve"> 。</w:t>
            </w:r>
          </w:p>
          <w:p w14:paraId="1CC6D744">
            <w:pPr>
              <w:widowControl/>
              <w:textAlignment w:val="center"/>
              <w:rPr>
                <w:rFonts w:hint="default" w:ascii="宋体" w:hAnsi="宋体"/>
                <w:szCs w:val="21"/>
                <w:lang w:val="en-US" w:eastAsia="zh-CN"/>
              </w:rPr>
            </w:pPr>
            <w:r>
              <w:rPr>
                <w:rFonts w:hint="eastAsia" w:ascii="宋体" w:hAnsi="宋体" w:cs="宋体"/>
                <w:color w:val="auto"/>
                <w:kern w:val="0"/>
                <w:szCs w:val="21"/>
                <w:lang w:val="en-US" w:eastAsia="zh-CN" w:bidi="ar"/>
              </w:rPr>
              <w:t>10.主机</w:t>
            </w:r>
            <w:r>
              <w:rPr>
                <w:rFonts w:hint="eastAsia" w:ascii="宋体" w:hAnsi="宋体" w:cs="宋体"/>
                <w:color w:val="auto"/>
                <w:kern w:val="0"/>
                <w:szCs w:val="21"/>
                <w:lang w:bidi="ar"/>
              </w:rPr>
              <w:t>重量≦</w:t>
            </w:r>
            <w:r>
              <w:rPr>
                <w:rFonts w:hint="eastAsia" w:ascii="宋体" w:hAnsi="宋体" w:cs="宋体"/>
                <w:color w:val="auto"/>
                <w:kern w:val="0"/>
                <w:szCs w:val="21"/>
                <w:lang w:val="en-US" w:eastAsia="zh-CN" w:bidi="ar"/>
              </w:rPr>
              <w:t>1500g 。</w:t>
            </w:r>
          </w:p>
          <w:p w14:paraId="7276B6CB">
            <w:pPr>
              <w:widowControl/>
              <w:textAlignment w:val="center"/>
              <w:rPr>
                <w:rFonts w:hint="eastAsia" w:ascii="宋体" w:hAnsi="宋体"/>
                <w:szCs w:val="21"/>
                <w:lang w:val="en-US" w:eastAsia="zh-CN"/>
              </w:rPr>
            </w:pPr>
            <w:r>
              <w:rPr>
                <w:rFonts w:hint="eastAsia" w:ascii="宋体" w:hAnsi="宋体"/>
                <w:szCs w:val="21"/>
                <w:lang w:val="en-US" w:eastAsia="zh-CN"/>
              </w:rPr>
              <w:t>11.主机具备旋钮式正转、停止、反转三挡调节开关功能</w:t>
            </w:r>
            <w:r>
              <w:rPr>
                <w:rFonts w:hint="eastAsia" w:ascii="宋体" w:hAnsi="宋体" w:eastAsia="宋体"/>
                <w:kern w:val="2"/>
                <w:sz w:val="21"/>
                <w:szCs w:val="21"/>
                <w:lang w:val="en-US" w:eastAsia="zh-CN" w:bidi="ar-SA"/>
              </w:rPr>
              <w:t>。</w:t>
            </w:r>
          </w:p>
          <w:p w14:paraId="25D49E40">
            <w:pPr>
              <w:widowControl/>
              <w:ind w:left="210" w:hanging="210" w:hangingChars="100"/>
              <w:textAlignment w:val="center"/>
              <w:rPr>
                <w:rFonts w:hint="default" w:ascii="宋体" w:hAnsi="宋体" w:eastAsia="宋体"/>
                <w:szCs w:val="21"/>
                <w:lang w:val="en-US" w:eastAsia="zh-CN"/>
              </w:rPr>
            </w:pPr>
            <w:r>
              <w:rPr>
                <w:rFonts w:hint="eastAsia" w:ascii="宋体" w:hAnsi="宋体"/>
                <w:szCs w:val="21"/>
                <w:lang w:val="en-US" w:eastAsia="zh-CN"/>
              </w:rPr>
              <w:t>12.主机机身一体化铝合金设计，更加贴近人体工程学的弧度设计，握感舒适。</w:t>
            </w:r>
          </w:p>
          <w:p w14:paraId="4495936D">
            <w:pPr>
              <w:widowControl/>
              <w:textAlignment w:val="center"/>
              <w:rPr>
                <w:rFonts w:hint="eastAsia" w:ascii="宋体" w:hAnsi="宋体"/>
                <w:szCs w:val="21"/>
                <w:lang w:val="en-US" w:eastAsia="zh-CN"/>
              </w:rPr>
            </w:pPr>
            <w:r>
              <w:rPr>
                <w:rFonts w:hint="eastAsia" w:ascii="宋体" w:hAnsi="宋体"/>
                <w:szCs w:val="21"/>
                <w:lang w:val="en-US" w:eastAsia="zh-CN"/>
              </w:rPr>
              <w:t>13.主机采用一体式电池仓（不可拆卸）。</w:t>
            </w:r>
          </w:p>
          <w:p w14:paraId="10C5B597">
            <w:pPr>
              <w:widowControl/>
              <w:textAlignment w:val="center"/>
              <w:rPr>
                <w:rFonts w:hint="default"/>
                <w:lang w:val="en-US" w:eastAsia="zh-CN"/>
              </w:rPr>
            </w:pPr>
            <w:r>
              <w:rPr>
                <w:rFonts w:hint="eastAsia" w:ascii="宋体" w:hAnsi="宋体"/>
                <w:szCs w:val="21"/>
                <w:lang w:val="en-US" w:eastAsia="zh-CN"/>
              </w:rPr>
              <w:t>14.仓盖采用旋钮旋转≥180°弹性抗震锁定结构，结构更加稳定。</w:t>
            </w:r>
          </w:p>
        </w:tc>
      </w:tr>
      <w:tr w14:paraId="70D1FA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020" w:type="dxa"/>
            <w:vMerge w:val="continue"/>
            <w:noWrap w:val="0"/>
            <w:vAlign w:val="center"/>
          </w:tcPr>
          <w:p w14:paraId="3C927411">
            <w:pPr>
              <w:widowControl/>
              <w:textAlignment w:val="center"/>
              <w:rPr>
                <w:rFonts w:hint="eastAsia" w:ascii="宋体" w:hAnsi="宋体"/>
                <w:szCs w:val="21"/>
              </w:rPr>
            </w:pPr>
          </w:p>
        </w:tc>
        <w:tc>
          <w:tcPr>
            <w:tcW w:w="1500" w:type="dxa"/>
            <w:noWrap w:val="0"/>
            <w:vAlign w:val="center"/>
          </w:tcPr>
          <w:p w14:paraId="5A66863A">
            <w:pPr>
              <w:widowControl/>
              <w:textAlignment w:val="center"/>
              <w:rPr>
                <w:rFonts w:hint="eastAsia" w:ascii="宋体" w:hAnsi="宋体"/>
                <w:szCs w:val="21"/>
                <w:lang w:val="en-US" w:eastAsia="zh-CN"/>
              </w:rPr>
            </w:pPr>
            <w:r>
              <w:rPr>
                <w:rFonts w:hint="eastAsia" w:ascii="宋体" w:hAnsi="宋体"/>
                <w:szCs w:val="21"/>
                <w:lang w:val="en-US" w:eastAsia="zh-CN"/>
              </w:rPr>
              <w:t>充电器参数</w:t>
            </w:r>
          </w:p>
        </w:tc>
        <w:tc>
          <w:tcPr>
            <w:tcW w:w="6405" w:type="dxa"/>
            <w:noWrap w:val="0"/>
            <w:vAlign w:val="center"/>
          </w:tcPr>
          <w:p w14:paraId="7A168769">
            <w:pPr>
              <w:widowControl/>
              <w:numPr>
                <w:ilvl w:val="0"/>
                <w:numId w:val="0"/>
              </w:numPr>
              <w:textAlignment w:val="center"/>
              <w:rPr>
                <w:rFonts w:hint="eastAsia" w:ascii="宋体" w:hAnsi="宋体"/>
                <w:szCs w:val="21"/>
                <w:lang w:val="en-US" w:eastAsia="zh-CN"/>
              </w:rPr>
            </w:pPr>
            <w:r>
              <w:rPr>
                <w:rFonts w:hint="eastAsia" w:ascii="宋体" w:hAnsi="宋体"/>
                <w:szCs w:val="21"/>
                <w:lang w:val="en-US" w:eastAsia="zh-CN"/>
              </w:rPr>
              <w:t>1.充电器可采用110V~220V宽频交流供电。</w:t>
            </w:r>
          </w:p>
          <w:p w14:paraId="66E6A8FD">
            <w:pPr>
              <w:widowControl/>
              <w:numPr>
                <w:ilvl w:val="0"/>
                <w:numId w:val="0"/>
              </w:numPr>
              <w:ind w:left="210" w:hanging="210" w:hangingChars="100"/>
              <w:textAlignment w:val="center"/>
              <w:rPr>
                <w:rFonts w:hint="default"/>
                <w:lang w:val="en-US" w:eastAsia="zh-CN"/>
              </w:rPr>
            </w:pPr>
            <w:r>
              <w:rPr>
                <w:rFonts w:hint="eastAsia" w:ascii="宋体" w:hAnsi="宋体"/>
                <w:szCs w:val="21"/>
                <w:lang w:val="en-US" w:eastAsia="zh-CN"/>
              </w:rPr>
              <w:t>2.具有电量显示、电量检测功能。应用于术前电池电量检测，以及电池充电过程电量实时显示。</w:t>
            </w:r>
          </w:p>
        </w:tc>
      </w:tr>
      <w:tr w14:paraId="402BE8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020" w:type="dxa"/>
            <w:vMerge w:val="continue"/>
            <w:noWrap w:val="0"/>
            <w:vAlign w:val="center"/>
          </w:tcPr>
          <w:p w14:paraId="1528E907">
            <w:pPr>
              <w:widowControl/>
              <w:textAlignment w:val="center"/>
              <w:rPr>
                <w:rFonts w:hint="eastAsia" w:ascii="宋体" w:hAnsi="宋体"/>
                <w:szCs w:val="21"/>
              </w:rPr>
            </w:pPr>
          </w:p>
        </w:tc>
        <w:tc>
          <w:tcPr>
            <w:tcW w:w="1500" w:type="dxa"/>
            <w:noWrap w:val="0"/>
            <w:vAlign w:val="center"/>
          </w:tcPr>
          <w:p w14:paraId="493AAB46">
            <w:pPr>
              <w:widowControl/>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电池：</w:t>
            </w:r>
          </w:p>
          <w:p w14:paraId="22D30A7E">
            <w:pPr>
              <w:widowControl/>
              <w:textAlignment w:val="center"/>
              <w:rPr>
                <w:rFonts w:hint="eastAsia" w:ascii="宋体" w:hAnsi="宋体"/>
                <w:szCs w:val="21"/>
                <w:lang w:val="en-US" w:eastAsia="zh-CN"/>
              </w:rPr>
            </w:pPr>
          </w:p>
        </w:tc>
        <w:tc>
          <w:tcPr>
            <w:tcW w:w="6405" w:type="dxa"/>
            <w:noWrap w:val="0"/>
            <w:vAlign w:val="center"/>
          </w:tcPr>
          <w:p w14:paraId="4034A7AB">
            <w:pPr>
              <w:widowControl/>
              <w:numPr>
                <w:ilvl w:val="0"/>
                <w:numId w:val="0"/>
              </w:numPr>
              <w:jc w:val="left"/>
              <w:textAlignment w:val="center"/>
              <w:rPr>
                <w:rFonts w:hint="eastAsia" w:ascii="宋体" w:hAnsi="宋体"/>
                <w:szCs w:val="21"/>
                <w:lang w:val="en-US" w:eastAsia="zh-CN"/>
              </w:rPr>
            </w:pPr>
            <w:r>
              <w:rPr>
                <w:rFonts w:hint="eastAsia" w:ascii="宋体" w:hAnsi="宋体" w:cs="宋体"/>
                <w:color w:val="000000"/>
                <w:kern w:val="0"/>
                <w:szCs w:val="21"/>
                <w:lang w:val="en-US" w:eastAsia="zh-CN" w:bidi="ar"/>
              </w:rPr>
              <w:t>1.</w:t>
            </w:r>
            <w:r>
              <w:rPr>
                <w:rFonts w:hint="eastAsia" w:ascii="宋体" w:hAnsi="宋体"/>
                <w:szCs w:val="21"/>
                <w:lang w:val="en-US" w:eastAsia="zh-CN"/>
              </w:rPr>
              <w:t>电池采用锂电池。</w:t>
            </w:r>
          </w:p>
          <w:p w14:paraId="68A2277C">
            <w:pPr>
              <w:widowControl/>
              <w:numPr>
                <w:ilvl w:val="0"/>
                <w:numId w:val="0"/>
              </w:numPr>
              <w:ind w:left="210" w:hanging="210" w:hangingChars="100"/>
              <w:jc w:val="left"/>
              <w:textAlignment w:val="center"/>
              <w:rPr>
                <w:rFonts w:hint="default" w:ascii="宋体" w:hAnsi="宋体" w:cs="宋体"/>
                <w:color w:val="000000"/>
                <w:kern w:val="0"/>
                <w:szCs w:val="21"/>
                <w:lang w:val="en-US" w:eastAsia="zh-CN" w:bidi="ar"/>
              </w:rPr>
            </w:pPr>
            <w:r>
              <w:rPr>
                <w:rFonts w:hint="eastAsia" w:ascii="宋体" w:hAnsi="宋体"/>
                <w:szCs w:val="21"/>
                <w:lang w:val="en-US" w:eastAsia="zh-CN"/>
              </w:rPr>
              <w:t>2.电芯采用钢质外壳，相比传统软包锂电池更加安全可靠。</w:t>
            </w:r>
          </w:p>
          <w:p w14:paraId="08633DD2">
            <w:pPr>
              <w:widowControl/>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3.额定电压14.8V</w:t>
            </w:r>
            <w:r>
              <w:rPr>
                <w:rFonts w:hint="eastAsia" w:ascii="宋体" w:hAnsi="宋体" w:eastAsia="宋体"/>
                <w:kern w:val="2"/>
                <w:sz w:val="21"/>
                <w:szCs w:val="21"/>
                <w:lang w:val="en-US" w:eastAsia="zh-CN" w:bidi="ar-SA"/>
              </w:rPr>
              <w:t xml:space="preserve"> ±1。</w:t>
            </w:r>
          </w:p>
          <w:p w14:paraId="782BB4E1">
            <w:pPr>
              <w:widowControl/>
              <w:textAlignment w:val="center"/>
              <w:rPr>
                <w:rFonts w:hint="eastAsia" w:ascii="宋体" w:hAnsi="宋体"/>
                <w:szCs w:val="21"/>
                <w:lang w:val="en-US" w:eastAsia="zh-CN"/>
              </w:rPr>
            </w:pPr>
            <w:r>
              <w:rPr>
                <w:rFonts w:hint="eastAsia" w:ascii="宋体" w:hAnsi="宋体" w:cs="宋体"/>
                <w:color w:val="000000"/>
                <w:kern w:val="0"/>
                <w:szCs w:val="21"/>
                <w:lang w:val="en-US" w:eastAsia="zh-CN" w:bidi="ar"/>
              </w:rPr>
              <w:t>4.容量≥3000mA</w:t>
            </w:r>
            <w:r>
              <w:rPr>
                <w:rFonts w:hint="eastAsia" w:ascii="宋体" w:hAnsi="宋体" w:eastAsia="宋体"/>
                <w:kern w:val="2"/>
                <w:sz w:val="21"/>
                <w:szCs w:val="21"/>
                <w:lang w:val="en-US" w:eastAsia="zh-CN" w:bidi="ar-SA"/>
              </w:rPr>
              <w:t xml:space="preserve"> 。</w:t>
            </w:r>
          </w:p>
          <w:p w14:paraId="4122634A">
            <w:pPr>
              <w:widowControl/>
              <w:textAlignment w:val="center"/>
              <w:rPr>
                <w:rFonts w:hint="default" w:ascii="宋体" w:hAnsi="宋体"/>
                <w:szCs w:val="21"/>
                <w:lang w:val="en-US" w:eastAsia="zh-CN"/>
              </w:rPr>
            </w:pPr>
            <w:r>
              <w:rPr>
                <w:rFonts w:hint="eastAsia" w:ascii="宋体" w:hAnsi="宋体" w:cs="宋体"/>
                <w:color w:val="000000"/>
                <w:kern w:val="0"/>
                <w:szCs w:val="21"/>
                <w:lang w:val="en-US" w:eastAsia="zh-CN" w:bidi="ar"/>
              </w:rPr>
              <w:t>5.标准充电3.5小时左右，快速充电时间2小时左右。</w:t>
            </w:r>
          </w:p>
          <w:p w14:paraId="52466367">
            <w:pPr>
              <w:widowControl/>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6.充满电后的电池，在1A的放电电流下，放电时间≥30分钟。</w:t>
            </w:r>
          </w:p>
          <w:p w14:paraId="3722D108">
            <w:pPr>
              <w:widowControl/>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7.配≥3000mA大容量电池，满足长续航需求。</w:t>
            </w:r>
          </w:p>
          <w:p w14:paraId="0CFC6FA4">
            <w:pPr>
              <w:widowControl/>
              <w:textAlignment w:val="center"/>
              <w:rPr>
                <w:rFonts w:hint="default"/>
                <w:lang w:val="en-US" w:eastAsia="zh-CN"/>
              </w:rPr>
            </w:pPr>
            <w:r>
              <w:rPr>
                <w:rFonts w:hint="eastAsia" w:ascii="宋体" w:hAnsi="宋体" w:eastAsia="宋体" w:cs="宋体"/>
                <w:color w:val="000000"/>
                <w:kern w:val="0"/>
                <w:szCs w:val="21"/>
                <w:lang w:val="en-US" w:eastAsia="zh-CN" w:bidi="ar"/>
              </w:rPr>
              <w:t>8、每把空心钻配≥3块电池。</w:t>
            </w:r>
          </w:p>
        </w:tc>
      </w:tr>
    </w:tbl>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390C4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2B62FC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5B6D5A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60DD70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2年后支付10%余款给乙方。</w:t>
      </w:r>
    </w:p>
    <w:p w14:paraId="6AA94C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2年，三个月内出现质量问题，必须换新，终身维修。验收时出具原厂售后质保承诺书，质保期内每年巡检一次，并提交巡检记录。质保期内出现故障，1小时响应，响应后24小时上门服务。</w:t>
      </w:r>
    </w:p>
    <w:p w14:paraId="6098EC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摆锯+空心钻</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摆锯+空心钻</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1"/>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1074"/>
        <w:gridCol w:w="1520"/>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1074"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520"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1469BBF2">
            <w:pPr>
              <w:pStyle w:val="5"/>
              <w:spacing w:after="0"/>
              <w:ind w:firstLine="240" w:firstLineChars="10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摆锯</w:t>
            </w:r>
          </w:p>
        </w:tc>
        <w:tc>
          <w:tcPr>
            <w:tcW w:w="1220"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tc>
        <w:tc>
          <w:tcPr>
            <w:tcW w:w="1760"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tc>
        <w:tc>
          <w:tcPr>
            <w:tcW w:w="1074" w:type="dxa"/>
            <w:shd w:val="clear" w:color="auto" w:fill="auto"/>
            <w:vAlign w:val="center"/>
          </w:tcPr>
          <w:p w14:paraId="07DC1063">
            <w:pPr>
              <w:pStyle w:val="5"/>
              <w:spacing w:after="0"/>
              <w:ind w:firstLine="240" w:firstLineChars="10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5把</w:t>
            </w:r>
          </w:p>
        </w:tc>
        <w:tc>
          <w:tcPr>
            <w:tcW w:w="1520"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25E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7" w:type="dxa"/>
            <w:shd w:val="clear" w:color="auto" w:fill="auto"/>
            <w:vAlign w:val="center"/>
          </w:tcPr>
          <w:p w14:paraId="66557821">
            <w:pPr>
              <w:pStyle w:val="5"/>
              <w:spacing w:after="0"/>
              <w:ind w:firstLine="240" w:firstLineChars="10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空心钻</w:t>
            </w:r>
          </w:p>
        </w:tc>
        <w:tc>
          <w:tcPr>
            <w:tcW w:w="1220" w:type="dxa"/>
            <w:vAlign w:val="center"/>
          </w:tcPr>
          <w:p w14:paraId="45651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760" w:type="dxa"/>
            <w:vAlign w:val="top"/>
          </w:tcPr>
          <w:p w14:paraId="34FFD2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320" w:type="dxa"/>
            <w:vAlign w:val="top"/>
          </w:tcPr>
          <w:p w14:paraId="544471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074" w:type="dxa"/>
            <w:shd w:val="clear" w:color="auto" w:fill="auto"/>
            <w:vAlign w:val="center"/>
          </w:tcPr>
          <w:p w14:paraId="7C372396">
            <w:pPr>
              <w:pStyle w:val="5"/>
              <w:spacing w:after="0"/>
              <w:ind w:firstLine="240" w:firstLineChars="10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10把</w:t>
            </w:r>
          </w:p>
        </w:tc>
        <w:tc>
          <w:tcPr>
            <w:tcW w:w="1520" w:type="dxa"/>
            <w:vAlign w:val="top"/>
          </w:tcPr>
          <w:p w14:paraId="7FF303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3A3C57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年，三个月内出现质量问题，必须换新，自甲方在总体验收报告单上签字确认合格之日起开始计算。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bookmarkStart w:id="4" w:name="_GoBack"/>
      <w:bookmarkEnd w:id="4"/>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04771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EC0D22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232C58"/>
    <w:rsid w:val="2C0A2E19"/>
    <w:rsid w:val="2C7642D0"/>
    <w:rsid w:val="2DD77C64"/>
    <w:rsid w:val="2DDA1E78"/>
    <w:rsid w:val="2DE00B8C"/>
    <w:rsid w:val="2EAC037F"/>
    <w:rsid w:val="2EB67A5C"/>
    <w:rsid w:val="302741D2"/>
    <w:rsid w:val="308B184D"/>
    <w:rsid w:val="309C1E01"/>
    <w:rsid w:val="30BB11DD"/>
    <w:rsid w:val="31F17CD1"/>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9A4992"/>
    <w:rsid w:val="435B161D"/>
    <w:rsid w:val="43B25DAC"/>
    <w:rsid w:val="44771DFD"/>
    <w:rsid w:val="45D569C3"/>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1F26E91"/>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216BD0"/>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adjustRightInd w:val="0"/>
      <w:spacing w:line="315" w:lineRule="atLeast"/>
      <w:jc w:val="left"/>
      <w:textAlignment w:val="baseline"/>
    </w:pPr>
    <w:rPr>
      <w:rFonts w:ascii="仿宋_GB2312" w:eastAsia="仿宋_GB2312"/>
      <w:kern w:val="0"/>
      <w:sz w:val="28"/>
      <w:szCs w:val="20"/>
    </w:rPr>
  </w:style>
  <w:style w:type="paragraph" w:styleId="5">
    <w:name w:val="Body Text First Indent"/>
    <w:basedOn w:val="4"/>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6">
    <w:name w:val="Body Text Indent"/>
    <w:basedOn w:val="1"/>
    <w:autoRedefine/>
    <w:qFormat/>
    <w:uiPriority w:val="99"/>
    <w:pPr>
      <w:spacing w:line="400" w:lineRule="exact"/>
      <w:ind w:left="630"/>
    </w:pPr>
    <w:rPr>
      <w:rFonts w:ascii="楷体_GB2312"/>
      <w:sz w:val="30"/>
      <w:szCs w:val="30"/>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6"/>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0"/>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8393</Words>
  <Characters>8825</Characters>
  <Lines>0</Lines>
  <Paragraphs>0</Paragraphs>
  <TotalTime>1</TotalTime>
  <ScaleCrop>false</ScaleCrop>
  <LinksUpToDate>false</LinksUpToDate>
  <CharactersWithSpaces>9812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2025-05-07T07:56:43Z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