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5"/>
        <w:snapToGrid w:val="0"/>
        <w:jc w:val="center"/>
        <w:rPr>
          <w:rFonts w:ascii="Arial" w:hAnsi="Arial" w:eastAsia="方正小标宋简体" w:cs="Arial"/>
          <w:color w:val="auto"/>
          <w:sz w:val="72"/>
          <w:szCs w:val="72"/>
        </w:rPr>
      </w:pPr>
    </w:p>
    <w:p w14:paraId="4E083A2B">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5"/>
        <w:snapToGrid w:val="0"/>
        <w:jc w:val="center"/>
        <w:rPr>
          <w:rFonts w:ascii="Arial" w:hAnsi="Arial" w:eastAsia="方正小标宋简体" w:cs="Arial"/>
          <w:color w:val="auto"/>
          <w:sz w:val="72"/>
          <w:szCs w:val="72"/>
        </w:rPr>
      </w:pPr>
    </w:p>
    <w:p w14:paraId="1170604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5"/>
        <w:snapToGrid w:val="0"/>
        <w:jc w:val="center"/>
        <w:rPr>
          <w:rFonts w:ascii="Arial" w:hAnsi="Arial" w:eastAsia="方正小标宋简体" w:cs="Arial"/>
          <w:color w:val="auto"/>
          <w:sz w:val="72"/>
          <w:szCs w:val="72"/>
        </w:rPr>
      </w:pPr>
    </w:p>
    <w:p w14:paraId="3BD69E2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5"/>
        <w:snapToGrid w:val="0"/>
        <w:jc w:val="center"/>
        <w:rPr>
          <w:rFonts w:ascii="Arial" w:hAnsi="Arial" w:eastAsia="方正小标宋简体" w:cs="Arial"/>
          <w:color w:val="auto"/>
          <w:sz w:val="72"/>
          <w:szCs w:val="72"/>
        </w:rPr>
      </w:pPr>
    </w:p>
    <w:p w14:paraId="6E2997A4">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5"/>
        <w:snapToGrid w:val="0"/>
        <w:jc w:val="center"/>
        <w:rPr>
          <w:rFonts w:ascii="Arial" w:hAnsi="Arial" w:eastAsia="方正小标宋简体" w:cs="Arial"/>
          <w:color w:val="auto"/>
          <w:sz w:val="72"/>
          <w:szCs w:val="72"/>
        </w:rPr>
      </w:pPr>
    </w:p>
    <w:p w14:paraId="4FF82E7D">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5"/>
        <w:snapToGrid w:val="0"/>
        <w:jc w:val="center"/>
        <w:rPr>
          <w:rFonts w:ascii="Arial" w:hAnsi="Arial" w:cs="Arial"/>
          <w:color w:val="auto"/>
          <w:sz w:val="32"/>
          <w:szCs w:val="32"/>
        </w:rPr>
      </w:pPr>
    </w:p>
    <w:p w14:paraId="0EDD96F5">
      <w:pPr>
        <w:pStyle w:val="5"/>
        <w:snapToGrid w:val="0"/>
        <w:jc w:val="center"/>
        <w:rPr>
          <w:rFonts w:ascii="Arial" w:hAnsi="Arial" w:cs="Arial"/>
          <w:color w:val="auto"/>
          <w:sz w:val="32"/>
          <w:szCs w:val="32"/>
        </w:rPr>
      </w:pPr>
    </w:p>
    <w:p w14:paraId="58640FD8">
      <w:pPr>
        <w:pStyle w:val="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生殖中心电子病历维保服务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五</w:t>
      </w:r>
      <w:bookmarkStart w:id="4" w:name="_GoBack"/>
      <w:bookmarkEnd w:id="4"/>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生殖中心电子病历维保服务进行单一来源采购，现邀请你单位</w:t>
      </w:r>
      <w:r>
        <w:rPr>
          <w:rFonts w:hint="eastAsia" w:hAnsi="Times New Roman"/>
          <w:bCs/>
          <w:color w:val="auto"/>
          <w:sz w:val="28"/>
          <w:szCs w:val="28"/>
          <w:lang w:val="en-US" w:eastAsia="zh-CN"/>
        </w:rPr>
        <w:t>（</w:t>
      </w:r>
      <w:r>
        <w:rPr>
          <w:rFonts w:hint="eastAsia"/>
          <w:bCs/>
          <w:color w:val="auto"/>
          <w:sz w:val="28"/>
          <w:szCs w:val="28"/>
          <w:lang w:val="en-US" w:eastAsia="zh-CN"/>
        </w:rPr>
        <w:t>南京迪飞信息系统有限公司）参加协商。</w:t>
      </w:r>
    </w:p>
    <w:p w14:paraId="502A45E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生殖中心电子病历维保服务</w:t>
      </w:r>
    </w:p>
    <w:p w14:paraId="24D6B7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33C8563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5995DC7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23289C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1CD475C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260FA2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459B0FE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7A7E0DC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464F1BA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7718F1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78D832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0887FF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BF45C5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ascii="仿宋" w:hAnsi="仿宋" w:eastAsia="仿宋" w:cs="仿宋"/>
                <w:i w:val="0"/>
                <w:iCs w:val="0"/>
                <w:caps w:val="0"/>
                <w:color w:val="000000"/>
                <w:spacing w:val="0"/>
                <w:sz w:val="28"/>
                <w:szCs w:val="28"/>
                <w:shd w:val="clear" w:fill="FFFFFF"/>
              </w:rPr>
              <w:t>生殖中心电子病历维保</w:t>
            </w:r>
            <w:r>
              <w:rPr>
                <w:rFonts w:hint="eastAsia" w:ascii="仿宋" w:hAnsi="仿宋" w:eastAsia="仿宋" w:cs="仿宋"/>
                <w:i w:val="0"/>
                <w:iCs w:val="0"/>
                <w:caps w:val="0"/>
                <w:color w:val="000000"/>
                <w:spacing w:val="0"/>
                <w:sz w:val="28"/>
                <w:szCs w:val="28"/>
                <w:shd w:val="clear" w:fill="FFFFFF"/>
                <w:lang w:val="en-US" w:eastAsia="zh-CN"/>
              </w:rPr>
              <w:t>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5.94万元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0FF9B14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（一）技术参数</w:t>
      </w:r>
    </w:p>
    <w:p w14:paraId="086B0E1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240" w:lineRule="atLeast"/>
        <w:ind w:left="0" w:right="0" w:firstLine="475"/>
        <w:textAlignment w:val="baseline"/>
        <w:rPr>
          <w:rFonts w:hint="eastAsia" w:ascii="仿宋_GB2312" w:hAnsi="Times New Roman" w:eastAsia="仿宋_GB2312" w:cs="仿宋_GB2312"/>
          <w:b w:val="0"/>
          <w:bCs w:val="0"/>
          <w:color w:val="auto"/>
          <w:kern w:val="0"/>
          <w:sz w:val="28"/>
          <w:szCs w:val="28"/>
          <w:lang w:val="en-US" w:eastAsia="zh-CN" w:bidi="ar-SA"/>
        </w:rPr>
      </w:pPr>
      <w:r>
        <w:rPr>
          <w:rFonts w:hint="eastAsia" w:ascii="仿宋_GB2312" w:hAnsi="Times New Roman" w:eastAsia="仿宋_GB2312" w:cs="仿宋_GB2312"/>
          <w:b w:val="0"/>
          <w:bCs w:val="0"/>
          <w:color w:val="auto"/>
          <w:kern w:val="0"/>
          <w:sz w:val="28"/>
          <w:szCs w:val="28"/>
          <w:lang w:val="en-US" w:eastAsia="zh-CN" w:bidi="ar-SA"/>
        </w:rPr>
        <w:t>1.1 服务内容：乙方为甲方提供生殖中心电子病历维保服务，具体见附件。</w:t>
      </w:r>
    </w:p>
    <w:p w14:paraId="65972BE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附件：生殖中心电子病历维保服务项目及内容如下：</w:t>
      </w:r>
    </w:p>
    <w:tbl>
      <w:tblPr>
        <w:tblStyle w:val="11"/>
        <w:tblW w:w="9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79"/>
        <w:gridCol w:w="1097"/>
        <w:gridCol w:w="7402"/>
      </w:tblGrid>
      <w:tr w14:paraId="09102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027B8D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8F3535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项目类别</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415780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内容</w:t>
            </w:r>
          </w:p>
        </w:tc>
      </w:tr>
      <w:tr w14:paraId="329EA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29E84F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DB05EF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日常服务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B35402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系统使用咨询</w:t>
            </w:r>
          </w:p>
        </w:tc>
      </w:tr>
      <w:tr w14:paraId="006DB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BAAFF2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802CA3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A4E389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错误数据的修正</w:t>
            </w:r>
          </w:p>
        </w:tc>
      </w:tr>
      <w:tr w14:paraId="050B4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2E629E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6828E0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93BEB6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对误删除数据的恢复</w:t>
            </w:r>
          </w:p>
        </w:tc>
      </w:tr>
      <w:tr w14:paraId="07961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8CD0F72">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5F63954">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0CEEDA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重复数据的修正</w:t>
            </w:r>
          </w:p>
        </w:tc>
      </w:tr>
      <w:tr w14:paraId="56D84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1D7B29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F879BF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63A046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原始数据的追溯</w:t>
            </w:r>
          </w:p>
        </w:tc>
      </w:tr>
      <w:tr w14:paraId="27858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631450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A1792B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A93F8C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新增客户端的安装，调试</w:t>
            </w:r>
          </w:p>
        </w:tc>
      </w:tr>
      <w:tr w14:paraId="7156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0B87D3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7C9BBCE">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F9A535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客户端运行使用的维护，例如服务器连接不上、系统无法登录、接口数据无法获取</w:t>
            </w:r>
          </w:p>
        </w:tc>
      </w:tr>
      <w:tr w14:paraId="65DFB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795EC93">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079BFD3">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A25BF3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服务器更换后的系统部署</w:t>
            </w:r>
          </w:p>
        </w:tc>
      </w:tr>
      <w:tr w14:paraId="4C2B2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92E118D">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A5B67E8">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B271D0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数据库迁移</w:t>
            </w:r>
          </w:p>
        </w:tc>
      </w:tr>
      <w:tr w14:paraId="1F45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C541C1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356A5DE">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61084B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数据库版本支持升级</w:t>
            </w:r>
          </w:p>
        </w:tc>
      </w:tr>
      <w:tr w14:paraId="361F2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9F3A43F">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5882EB7">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E3DA27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数据库定期备份检查</w:t>
            </w:r>
          </w:p>
        </w:tc>
      </w:tr>
      <w:tr w14:paraId="6CECE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0F912852">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30DF852">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96FAD9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断电后对服务器的检查及后续处理</w:t>
            </w:r>
          </w:p>
        </w:tc>
      </w:tr>
      <w:tr w14:paraId="33B44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7"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EFEDD8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304079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数据挖掘统计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8D5E53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相关数据统计</w:t>
            </w:r>
          </w:p>
        </w:tc>
      </w:tr>
      <w:tr w14:paraId="6CCC3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DD1C02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7EEFED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6800E5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协助工作量统计</w:t>
            </w:r>
          </w:p>
        </w:tc>
      </w:tr>
      <w:tr w14:paraId="58470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DCD17A3">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EE26379">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06617AE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协助数据挖掘分析</w:t>
            </w:r>
          </w:p>
        </w:tc>
      </w:tr>
      <w:tr w14:paraId="78FCF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61951C7">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91BD6CF">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1A98F8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协助质控数据的检索</w:t>
            </w:r>
          </w:p>
        </w:tc>
      </w:tr>
      <w:tr w14:paraId="060B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D936AD6">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8B221D5">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702C3C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协助科研用数据的分析</w:t>
            </w:r>
          </w:p>
        </w:tc>
      </w:tr>
      <w:tr w14:paraId="51A65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DD8DAC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023E8A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系统培训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524772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系统更新后对中心医护人员进行业务培训 2次/年</w:t>
            </w:r>
          </w:p>
        </w:tc>
      </w:tr>
      <w:tr w14:paraId="41EB4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080D3CE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1CC326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增强性维护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1818BC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提供系统功能增强性维护，确保各系统的正常运行</w:t>
            </w:r>
          </w:p>
        </w:tc>
      </w:tr>
      <w:tr w14:paraId="2B5AC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1D52F24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1C681B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政策性维护</w:t>
            </w:r>
          </w:p>
          <w:p w14:paraId="36EF1DD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475"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36E376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因国家政策或政府、医院上级部门要求导致的被动性程序修改，提供程序修改服务，并确保系统的在政策要求的时限内正确运行，该费用包含在维护总价内，医院不再另行支付相关费用。</w:t>
            </w:r>
          </w:p>
        </w:tc>
      </w:tr>
      <w:tr w14:paraId="24177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5EA762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6BC592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定期维护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957F57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每季度不定期进行系统巡查、数据维护和备份。</w:t>
            </w:r>
          </w:p>
        </w:tc>
      </w:tr>
    </w:tbl>
    <w:p w14:paraId="0B93125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240" w:lineRule="atLeast"/>
        <w:ind w:left="0" w:right="0" w:firstLine="475"/>
        <w:textAlignment w:val="baseline"/>
        <w:rPr>
          <w:rFonts w:hint="eastAsia" w:ascii="仿宋_GB2312" w:hAnsi="Times New Roman" w:eastAsia="仿宋_GB2312" w:cs="仿宋_GB2312"/>
          <w:b w:val="0"/>
          <w:bCs w:val="0"/>
          <w:color w:val="auto"/>
          <w:kern w:val="0"/>
          <w:sz w:val="28"/>
          <w:szCs w:val="28"/>
          <w:lang w:val="en-US" w:eastAsia="zh-CN" w:bidi="ar-SA"/>
        </w:rPr>
      </w:pPr>
      <w:r>
        <w:rPr>
          <w:rFonts w:hint="eastAsia" w:ascii="仿宋_GB2312" w:hAnsi="Times New Roman" w:eastAsia="仿宋_GB2312" w:cs="仿宋_GB2312"/>
          <w:b w:val="0"/>
          <w:bCs w:val="0"/>
          <w:color w:val="auto"/>
          <w:kern w:val="0"/>
          <w:sz w:val="28"/>
          <w:szCs w:val="28"/>
          <w:lang w:val="en-US" w:eastAsia="zh-CN" w:bidi="ar-SA"/>
        </w:rPr>
        <w:t>1.2 服务要求：</w:t>
      </w:r>
    </w:p>
    <w:p w14:paraId="45B2A71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240" w:lineRule="atLeast"/>
        <w:ind w:left="0" w:right="0" w:firstLine="475"/>
        <w:textAlignment w:val="baseline"/>
        <w:rPr>
          <w:rFonts w:hint="eastAsia" w:ascii="仿宋_GB2312" w:hAnsi="Times New Roman" w:eastAsia="仿宋_GB2312" w:cs="仿宋_GB2312"/>
          <w:b w:val="0"/>
          <w:bCs w:val="0"/>
          <w:color w:val="auto"/>
          <w:kern w:val="0"/>
          <w:sz w:val="28"/>
          <w:szCs w:val="28"/>
          <w:lang w:val="en-US" w:eastAsia="zh-CN" w:bidi="ar-SA"/>
        </w:rPr>
      </w:pPr>
      <w:r>
        <w:rPr>
          <w:rFonts w:hint="eastAsia" w:ascii="仿宋_GB2312" w:hAnsi="Times New Roman" w:eastAsia="仿宋_GB2312" w:cs="仿宋_GB2312"/>
          <w:b w:val="0"/>
          <w:bCs w:val="0"/>
          <w:color w:val="auto"/>
          <w:kern w:val="0"/>
          <w:sz w:val="28"/>
          <w:szCs w:val="28"/>
          <w:lang w:val="en-US" w:eastAsia="zh-CN" w:bidi="ar-SA"/>
        </w:rPr>
        <w:t>1.2.1 提供24小时电话、传真、电子邮件及远程在线故障服务和指导，在接到甲方故障通知后2小时内响应，协助甲方进行故障排除。</w:t>
      </w:r>
    </w:p>
    <w:p w14:paraId="75117B8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240" w:lineRule="atLeast"/>
        <w:ind w:left="0" w:right="0" w:firstLine="475"/>
        <w:textAlignment w:val="baseline"/>
        <w:rPr>
          <w:rFonts w:hint="eastAsia" w:ascii="仿宋_GB2312" w:hAnsi="Times New Roman" w:eastAsia="仿宋_GB2312" w:cs="仿宋_GB2312"/>
          <w:b w:val="0"/>
          <w:bCs w:val="0"/>
          <w:color w:val="auto"/>
          <w:kern w:val="0"/>
          <w:sz w:val="28"/>
          <w:szCs w:val="28"/>
          <w:lang w:val="en-US" w:eastAsia="zh-CN" w:bidi="ar-SA"/>
        </w:rPr>
      </w:pPr>
      <w:r>
        <w:rPr>
          <w:rFonts w:hint="eastAsia" w:ascii="仿宋_GB2312" w:hAnsi="Times New Roman" w:eastAsia="仿宋_GB2312" w:cs="仿宋_GB2312"/>
          <w:b w:val="0"/>
          <w:bCs w:val="0"/>
          <w:color w:val="auto"/>
          <w:kern w:val="0"/>
          <w:sz w:val="28"/>
          <w:szCs w:val="28"/>
          <w:lang w:val="en-US" w:eastAsia="zh-CN" w:bidi="ar-SA"/>
        </w:rPr>
        <w:t>1.2.2 远程指导不能解决时，在接到甲方故障通知后48小时内派出维护人员到达现场进行免费维护服务。</w:t>
      </w:r>
    </w:p>
    <w:p w14:paraId="2C09D32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75"/>
        <w:textAlignment w:val="baseline"/>
        <w:rPr>
          <w:rFonts w:hint="eastAsia" w:ascii="仿宋_GB2312" w:hAnsi="Times New Roman" w:eastAsia="仿宋_GB2312" w:cs="仿宋_GB2312"/>
          <w:b w:val="0"/>
          <w:bCs w:val="0"/>
          <w:color w:val="FF0000"/>
          <w:kern w:val="0"/>
          <w:sz w:val="28"/>
          <w:szCs w:val="28"/>
          <w:lang w:val="en-US" w:eastAsia="zh-CN" w:bidi="ar-SA"/>
        </w:rPr>
      </w:pPr>
      <w:r>
        <w:rPr>
          <w:rFonts w:hint="eastAsia" w:ascii="仿宋_GB2312" w:hAnsi="Times New Roman" w:eastAsia="仿宋_GB2312" w:cs="仿宋_GB2312"/>
          <w:b w:val="0"/>
          <w:bCs w:val="0"/>
          <w:color w:val="FF0000"/>
          <w:kern w:val="0"/>
          <w:sz w:val="28"/>
          <w:szCs w:val="28"/>
          <w:lang w:val="en-US" w:eastAsia="zh-CN" w:bidi="ar-SA"/>
        </w:rPr>
        <w:t>1.3 服务期限：</w:t>
      </w:r>
      <w:r>
        <w:rPr>
          <w:rFonts w:hint="eastAsia" w:ascii="仿宋_GB2312" w:eastAsia="仿宋_GB2312" w:cs="仿宋_GB2312"/>
          <w:b w:val="0"/>
          <w:bCs w:val="0"/>
          <w:color w:val="FF0000"/>
          <w:kern w:val="0"/>
          <w:sz w:val="28"/>
          <w:szCs w:val="28"/>
          <w:lang w:val="en-US" w:eastAsia="zh-CN" w:bidi="ar-SA"/>
        </w:rPr>
        <w:t>3</w:t>
      </w:r>
      <w:r>
        <w:rPr>
          <w:rFonts w:hint="eastAsia" w:ascii="仿宋_GB2312" w:hAnsi="Times New Roman" w:eastAsia="仿宋_GB2312" w:cs="仿宋_GB2312"/>
          <w:b w:val="0"/>
          <w:bCs w:val="0"/>
          <w:color w:val="FF0000"/>
          <w:kern w:val="0"/>
          <w:sz w:val="28"/>
          <w:szCs w:val="28"/>
          <w:lang w:val="en-US" w:eastAsia="zh-CN" w:bidi="ar-SA"/>
        </w:rPr>
        <w:t>年。</w:t>
      </w:r>
    </w:p>
    <w:p w14:paraId="5620347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75"/>
        <w:textAlignment w:val="baseline"/>
        <w:rPr>
          <w:rFonts w:hint="eastAsia" w:ascii="仿宋_GB2312" w:hAnsi="Times New Roman" w:eastAsia="仿宋_GB2312" w:cs="仿宋_GB2312"/>
          <w:bCs/>
          <w:color w:val="FF0000"/>
          <w:kern w:val="0"/>
          <w:sz w:val="28"/>
          <w:szCs w:val="28"/>
          <w:lang w:val="en-US" w:eastAsia="zh-CN" w:bidi="ar-SA"/>
        </w:rPr>
      </w:pPr>
      <w:r>
        <w:rPr>
          <w:rFonts w:hint="eastAsia" w:ascii="仿宋_GB2312" w:hAnsi="Times New Roman" w:eastAsia="仿宋_GB2312" w:cs="仿宋_GB2312"/>
          <w:bCs/>
          <w:color w:val="FF0000"/>
          <w:kern w:val="0"/>
          <w:sz w:val="28"/>
          <w:szCs w:val="28"/>
          <w:lang w:val="en-US" w:eastAsia="zh-CN" w:bidi="ar-SA"/>
        </w:rPr>
        <w:t>（二）商务参数</w:t>
      </w:r>
    </w:p>
    <w:p w14:paraId="668F9226">
      <w:pPr>
        <w:pStyle w:val="2"/>
        <w:keepNext w:val="0"/>
        <w:keepLines w:val="0"/>
        <w:pageBreakBefore w:val="0"/>
        <w:widowControl w:val="0"/>
        <w:kinsoku/>
        <w:wordWrap/>
        <w:overflowPunct/>
        <w:topLinePunct w:val="0"/>
        <w:autoSpaceDE/>
        <w:autoSpaceDN/>
        <w:bidi w:val="0"/>
        <w:adjustRightInd/>
        <w:snapToGrid/>
        <w:spacing w:after="0" w:line="480" w:lineRule="exact"/>
        <w:ind w:firstLine="480"/>
        <w:textAlignment w:val="auto"/>
        <w:rPr>
          <w:rFonts w:hint="default" w:ascii="仿宋_GB2312" w:hAnsi="Times New Roman" w:eastAsia="仿宋_GB2312" w:cs="仿宋_GB2312"/>
          <w:bCs/>
          <w:color w:val="FF0000"/>
          <w:kern w:val="0"/>
          <w:sz w:val="28"/>
          <w:szCs w:val="28"/>
          <w:lang w:val="en-US" w:eastAsia="zh-CN" w:bidi="ar-SA"/>
        </w:rPr>
      </w:pPr>
      <w:r>
        <w:rPr>
          <w:rFonts w:hint="eastAsia" w:ascii="仿宋_GB2312" w:hAnsi="Times New Roman" w:eastAsia="仿宋_GB2312" w:cs="仿宋_GB2312"/>
          <w:bCs/>
          <w:color w:val="FF0000"/>
          <w:kern w:val="0"/>
          <w:sz w:val="28"/>
          <w:szCs w:val="28"/>
          <w:lang w:val="en-US" w:eastAsia="zh-CN" w:bidi="ar-SA"/>
        </w:rPr>
        <w:t>付款方式：首次付款时间为合同签订之日起后30个日历日支付第一年服务费；第二次付款时间为第一个年度执行完毕后支付第二年服务费；第三次付款时间为第二年度执行完毕后支付支付三年服务费；</w:t>
      </w:r>
    </w:p>
    <w:p w14:paraId="12E9DC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12B8EF8F">
      <w:pPr>
        <w:pStyle w:val="13"/>
        <w:rPr>
          <w:rFonts w:hint="eastAsia" w:ascii="仿宋_GB2312" w:hAnsi="Times New Roman" w:eastAsia="仿宋_GB2312" w:cs="仿宋_GB2312"/>
          <w:bCs/>
          <w:color w:val="auto"/>
          <w:kern w:val="0"/>
          <w:sz w:val="28"/>
          <w:szCs w:val="28"/>
          <w:lang w:val="en-US" w:eastAsia="zh-CN" w:bidi="ar-SA"/>
        </w:rPr>
      </w:pPr>
    </w:p>
    <w:p w14:paraId="3D23BBD7">
      <w:pPr>
        <w:rPr>
          <w:rFonts w:hint="eastAsia"/>
          <w:bCs/>
          <w:color w:val="auto"/>
          <w:sz w:val="28"/>
          <w:szCs w:val="28"/>
          <w:lang w:val="en-US" w:eastAsia="zh-CN"/>
        </w:rPr>
      </w:pPr>
      <w:bookmarkStart w:id="1" w:name="_Toc16523574"/>
      <w:r>
        <w:rPr>
          <w:rFonts w:hint="eastAsia"/>
          <w:bCs/>
          <w:color w:val="auto"/>
          <w:sz w:val="28"/>
          <w:szCs w:val="28"/>
          <w:lang w:val="en-US" w:eastAsia="zh-CN"/>
        </w:rPr>
        <w:br w:type="page"/>
      </w:r>
    </w:p>
    <w:p w14:paraId="317B2C04">
      <w:pPr>
        <w:pStyle w:val="5"/>
        <w:keepNext w:val="0"/>
        <w:keepLines w:val="0"/>
        <w:pageBreakBefore w:val="0"/>
        <w:widowControl w:val="0"/>
        <w:numPr>
          <w:ilvl w:val="0"/>
          <w:numId w:val="0"/>
        </w:numPr>
        <w:tabs>
          <w:tab w:val="left" w:pos="312"/>
        </w:tabs>
        <w:kinsoku/>
        <w:wordWrap/>
        <w:overflowPunct/>
        <w:topLinePunct w:val="0"/>
        <w:autoSpaceDE/>
        <w:autoSpaceDN/>
        <w:bidi w:val="0"/>
        <w:adjustRightInd w:val="0"/>
        <w:snapToGrid w:val="0"/>
        <w:spacing w:line="480" w:lineRule="exact"/>
        <w:ind w:firstLine="6440" w:firstLineChars="2300"/>
        <w:textAlignment w:val="auto"/>
        <w:rPr>
          <w:rFonts w:hint="default"/>
          <w:bCs/>
          <w:color w:val="auto"/>
          <w:sz w:val="28"/>
          <w:szCs w:val="28"/>
          <w:lang w:val="en-US" w:eastAsia="zh-CN"/>
        </w:rPr>
      </w:pPr>
      <w:r>
        <w:rPr>
          <w:rFonts w:hint="eastAsia"/>
          <w:bCs/>
          <w:color w:val="auto"/>
          <w:sz w:val="28"/>
          <w:szCs w:val="28"/>
          <w:lang w:val="en-US" w:eastAsia="zh-CN"/>
        </w:rPr>
        <w:t>合同编号：</w:t>
      </w:r>
    </w:p>
    <w:p w14:paraId="263D1CA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36"/>
          <w:szCs w:val="36"/>
          <w:lang w:val="en-US" w:eastAsia="zh-CN" w:bidi="ar-SA"/>
        </w:rPr>
        <w:t>生殖中心电子病历维保服务采购合同</w:t>
      </w:r>
    </w:p>
    <w:p w14:paraId="3DF7348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 方（采购方）：娄底市中心医院</w:t>
      </w:r>
    </w:p>
    <w:p w14:paraId="6014FAE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统一社会信用代码：12431300447162073W</w:t>
      </w:r>
    </w:p>
    <w:p w14:paraId="1AD6084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 方（供应方）：</w:t>
      </w:r>
      <w:r>
        <w:rPr>
          <w:rFonts w:hint="eastAsia" w:ascii="仿宋_GB2312" w:eastAsia="仿宋_GB2312" w:cs="仿宋_GB2312"/>
          <w:bCs/>
          <w:color w:val="auto"/>
          <w:kern w:val="0"/>
          <w:sz w:val="28"/>
          <w:szCs w:val="28"/>
          <w:lang w:val="en-US" w:eastAsia="zh-CN" w:bidi="ar-SA"/>
        </w:rPr>
        <w:t>南京迪飞信息系统有限公司</w:t>
      </w:r>
    </w:p>
    <w:p w14:paraId="3153011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w:t>
      </w:r>
      <w:r>
        <w:rPr>
          <w:rFonts w:hint="eastAsia" w:ascii="仿宋_GB2312" w:eastAsia="仿宋_GB2312" w:cs="仿宋_GB2312"/>
          <w:bCs/>
          <w:color w:val="auto"/>
          <w:kern w:val="0"/>
          <w:sz w:val="28"/>
          <w:szCs w:val="28"/>
          <w:lang w:val="en-US" w:eastAsia="zh-CN" w:bidi="ar-SA"/>
        </w:rPr>
        <w:t>91320102754131664A</w:t>
      </w:r>
    </w:p>
    <w:p w14:paraId="4C0F902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甲方通过 采购生殖中心电子病历维保服务，乙方为成交供应商，项目编号：</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 xml:space="preserve"> 。现依据《中华人民共和国民法典》《中华人民共和国政府采购法》等相关法律法规，双方本着共同发展、互惠互利的原则，就甲方向乙方采购生殖中心电子病历维保服务事宜达成一致，特订立本合同，以资共同遵守。</w:t>
      </w:r>
    </w:p>
    <w:p w14:paraId="762A31B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第一条 服务内容、服务要求、服务期限</w:t>
      </w:r>
    </w:p>
    <w:p w14:paraId="193FAEA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 服务内容：乙方为甲方提供生殖中心电子病历维保服务，具体见附件。</w:t>
      </w:r>
    </w:p>
    <w:p w14:paraId="35DE879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 服务要求：</w:t>
      </w:r>
    </w:p>
    <w:p w14:paraId="2BC3A12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1.2.1 提供24小时电话、传真、电子邮件及远程在线故障服务和指导，在接到甲方故障通知后2小时内响应，协助甲方进行故障排除。</w:t>
      </w:r>
    </w:p>
    <w:p w14:paraId="25E7095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 远程指导不能解决时，在接到甲方故障通知后48小时内派出维护人员到达现场进行免费维护服务。</w:t>
      </w:r>
    </w:p>
    <w:p w14:paraId="2F7B124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1.2.3 如甲方需要变更功能需求或其它内容的，应以书面方式通知乙方对开发服务（包括但不限于开发服务的内容、进度、交付物等）进行变更，乙方无条件配合变更调整，由此产生的费用双方应结合变更后的实际工作量诚信协商调整，并签署书面补充协议。</w:t>
      </w:r>
    </w:p>
    <w:p w14:paraId="3771F89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 服务期限：</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年，自202</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年</w:t>
      </w:r>
      <w:r>
        <w:rPr>
          <w:rFonts w:hint="eastAsia" w:ascii="仿宋_GB2312" w:eastAsia="仿宋_GB2312"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ascii="仿宋_GB2312" w:eastAsia="仿宋_GB2312" w:cs="仿宋_GB2312"/>
          <w:bCs/>
          <w:color w:val="auto"/>
          <w:kern w:val="0"/>
          <w:sz w:val="28"/>
          <w:szCs w:val="28"/>
          <w:lang w:val="en-US" w:eastAsia="zh-CN" w:bidi="ar-SA"/>
        </w:rPr>
        <w:t>27</w:t>
      </w:r>
      <w:r>
        <w:rPr>
          <w:rFonts w:hint="eastAsia" w:ascii="仿宋_GB2312" w:hAnsi="Times New Roman" w:eastAsia="仿宋_GB2312" w:cs="仿宋_GB2312"/>
          <w:bCs/>
          <w:color w:val="auto"/>
          <w:kern w:val="0"/>
          <w:sz w:val="28"/>
          <w:szCs w:val="28"/>
          <w:lang w:val="en-US" w:eastAsia="zh-CN" w:bidi="ar-SA"/>
        </w:rPr>
        <w:t>日起至202</w:t>
      </w:r>
      <w:r>
        <w:rPr>
          <w:rFonts w:hint="eastAsia" w:ascii="仿宋_GB2312" w:eastAsia="仿宋_GB2312" w:cs="仿宋_GB2312"/>
          <w:bCs/>
          <w:color w:val="auto"/>
          <w:kern w:val="0"/>
          <w:sz w:val="28"/>
          <w:szCs w:val="28"/>
          <w:lang w:val="en-US" w:eastAsia="zh-CN" w:bidi="ar-SA"/>
        </w:rPr>
        <w:t>7</w:t>
      </w:r>
      <w:r>
        <w:rPr>
          <w:rFonts w:hint="eastAsia" w:ascii="仿宋_GB2312" w:hAnsi="Times New Roman" w:eastAsia="仿宋_GB2312" w:cs="仿宋_GB2312"/>
          <w:bCs/>
          <w:color w:val="auto"/>
          <w:kern w:val="0"/>
          <w:sz w:val="28"/>
          <w:szCs w:val="28"/>
          <w:lang w:val="en-US" w:eastAsia="zh-CN" w:bidi="ar-SA"/>
        </w:rPr>
        <w:t>年</w:t>
      </w:r>
      <w:r>
        <w:rPr>
          <w:rFonts w:hint="eastAsia" w:ascii="仿宋_GB2312" w:eastAsia="仿宋_GB2312"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ascii="仿宋_GB2312" w:eastAsia="仿宋_GB2312" w:cs="仿宋_GB2312"/>
          <w:bCs/>
          <w:color w:val="auto"/>
          <w:kern w:val="0"/>
          <w:sz w:val="28"/>
          <w:szCs w:val="28"/>
          <w:lang w:val="en-US" w:eastAsia="zh-CN" w:bidi="ar-SA"/>
        </w:rPr>
        <w:t>26</w:t>
      </w:r>
      <w:r>
        <w:rPr>
          <w:rFonts w:hint="eastAsia" w:ascii="仿宋_GB2312" w:hAnsi="Times New Roman" w:eastAsia="仿宋_GB2312" w:cs="仿宋_GB2312"/>
          <w:bCs/>
          <w:color w:val="auto"/>
          <w:kern w:val="0"/>
          <w:sz w:val="28"/>
          <w:szCs w:val="28"/>
          <w:lang w:val="en-US" w:eastAsia="zh-CN" w:bidi="ar-SA"/>
        </w:rPr>
        <w:t>日止。</w:t>
      </w:r>
    </w:p>
    <w:p w14:paraId="7A00564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第二条 合同金额及付款方式</w:t>
      </w:r>
    </w:p>
    <w:p w14:paraId="792B6AE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2.1 </w:t>
      </w:r>
      <w:r>
        <w:rPr>
          <w:rFonts w:hint="eastAsia" w:ascii="仿宋_GB2312" w:hAnsi="Times New Roman" w:eastAsia="仿宋_GB2312" w:cs="仿宋_GB2312"/>
          <w:bCs/>
          <w:color w:val="FF0000"/>
          <w:kern w:val="0"/>
          <w:sz w:val="28"/>
          <w:szCs w:val="28"/>
          <w:lang w:val="en-US" w:eastAsia="zh-CN" w:bidi="ar-SA"/>
        </w:rPr>
        <w:t>本合同</w:t>
      </w:r>
      <w:r>
        <w:rPr>
          <w:rFonts w:hint="eastAsia" w:ascii="仿宋_GB2312" w:eastAsia="仿宋_GB2312" w:cs="仿宋_GB2312"/>
          <w:bCs/>
          <w:color w:val="FF0000"/>
          <w:kern w:val="0"/>
          <w:sz w:val="28"/>
          <w:szCs w:val="28"/>
          <w:lang w:val="en-US" w:eastAsia="zh-CN" w:bidi="ar-SA"/>
        </w:rPr>
        <w:t>项目年度服务费标准为人民币</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元整（￥</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w:t>
      </w:r>
      <w:r>
        <w:rPr>
          <w:rFonts w:hint="eastAsia" w:ascii="仿宋_GB2312" w:eastAsia="仿宋_GB2312" w:cs="仿宋_GB2312"/>
          <w:bCs/>
          <w:color w:val="FF0000"/>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合同</w:t>
      </w:r>
      <w:r>
        <w:rPr>
          <w:rFonts w:hint="eastAsia" w:ascii="仿宋_GB2312" w:hAnsi="Times New Roman" w:eastAsia="仿宋_GB2312" w:cs="仿宋_GB2312"/>
          <w:bCs/>
          <w:color w:val="auto"/>
          <w:kern w:val="0"/>
          <w:sz w:val="28"/>
          <w:szCs w:val="28"/>
          <w:lang w:val="en-US" w:eastAsia="zh-CN" w:bidi="ar-SA"/>
        </w:rPr>
        <w:t>金额</w:t>
      </w:r>
      <w:r>
        <w:rPr>
          <w:rFonts w:hint="eastAsia" w:ascii="仿宋_GB2312" w:eastAsia="仿宋_GB2312" w:cs="仿宋_GB2312"/>
          <w:bCs/>
          <w:color w:val="auto"/>
          <w:kern w:val="0"/>
          <w:sz w:val="28"/>
          <w:szCs w:val="28"/>
          <w:lang w:val="en-US" w:eastAsia="zh-CN" w:bidi="ar-SA"/>
        </w:rPr>
        <w:t>共计</w:t>
      </w:r>
      <w:r>
        <w:rPr>
          <w:rFonts w:hint="eastAsia" w:ascii="仿宋_GB2312" w:hAnsi="Times New Roman" w:eastAsia="仿宋_GB2312" w:cs="仿宋_GB2312"/>
          <w:bCs/>
          <w:color w:val="auto"/>
          <w:kern w:val="0"/>
          <w:sz w:val="28"/>
          <w:szCs w:val="28"/>
          <w:lang w:val="en-US" w:eastAsia="zh-CN" w:bidi="ar-SA"/>
        </w:rPr>
        <w:t>人民币</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元整（￥</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元），已经包括税费、维护费、培训费、差旅费、加班费、人工费、交通费、系统升级费等乙方履行本合同产生的全部费用，甲方不再就本合同维保范围内的服务额外支付任何其它费用</w:t>
      </w:r>
      <w:r>
        <w:rPr>
          <w:rFonts w:hint="eastAsia" w:ascii="仿宋_GB2312" w:eastAsia="仿宋_GB2312" w:cs="仿宋_GB2312"/>
          <w:bCs/>
          <w:color w:val="auto"/>
          <w:kern w:val="0"/>
          <w:sz w:val="28"/>
          <w:szCs w:val="28"/>
          <w:lang w:val="en-US" w:eastAsia="zh-CN" w:bidi="ar-SA"/>
        </w:rPr>
        <w:t>。</w:t>
      </w:r>
    </w:p>
    <w:p w14:paraId="74E172B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 甲方通过银行转账方式分期向乙方指定收款账户支付合同价款：</w:t>
      </w:r>
    </w:p>
    <w:p w14:paraId="202BB4E1">
      <w:pPr>
        <w:pStyle w:val="2"/>
        <w:keepNext w:val="0"/>
        <w:keepLines w:val="0"/>
        <w:pageBreakBefore w:val="0"/>
        <w:widowControl w:val="0"/>
        <w:kinsoku/>
        <w:wordWrap/>
        <w:overflowPunct/>
        <w:topLinePunct w:val="0"/>
        <w:autoSpaceDE/>
        <w:autoSpaceDN/>
        <w:bidi w:val="0"/>
        <w:adjustRightInd/>
        <w:snapToGrid/>
        <w:spacing w:after="0" w:line="480" w:lineRule="exact"/>
        <w:ind w:firstLine="480"/>
        <w:textAlignment w:val="auto"/>
        <w:rPr>
          <w:rFonts w:hint="default" w:ascii="仿宋_GB2312" w:hAnsi="Times New Roman" w:eastAsia="仿宋_GB2312" w:cs="仿宋_GB2312"/>
          <w:bCs/>
          <w:color w:val="FF0000"/>
          <w:kern w:val="0"/>
          <w:sz w:val="28"/>
          <w:szCs w:val="28"/>
          <w:lang w:val="en-US" w:eastAsia="zh-CN" w:bidi="ar-SA"/>
        </w:rPr>
      </w:pPr>
      <w:r>
        <w:rPr>
          <w:rFonts w:hint="eastAsia" w:ascii="仿宋_GB2312" w:hAnsi="Times New Roman" w:eastAsia="仿宋_GB2312" w:cs="仿宋_GB2312"/>
          <w:bCs/>
          <w:color w:val="FF0000"/>
          <w:kern w:val="0"/>
          <w:sz w:val="28"/>
          <w:szCs w:val="28"/>
          <w:lang w:val="en-US" w:eastAsia="zh-CN" w:bidi="ar-SA"/>
        </w:rPr>
        <w:t>2.2.1 在2025年 月 日前支付</w:t>
      </w:r>
      <w:r>
        <w:rPr>
          <w:rFonts w:hint="eastAsia" w:ascii="仿宋_GB2312" w:eastAsia="仿宋_GB2312" w:cs="仿宋_GB2312"/>
          <w:bCs/>
          <w:color w:val="FF0000"/>
          <w:kern w:val="0"/>
          <w:sz w:val="28"/>
          <w:szCs w:val="28"/>
          <w:lang w:val="en-US" w:eastAsia="zh-CN" w:bidi="ar-SA"/>
        </w:rPr>
        <w:t>年度</w:t>
      </w:r>
      <w:r>
        <w:rPr>
          <w:rFonts w:hint="eastAsia" w:ascii="仿宋_GB2312" w:hAnsi="Times New Roman" w:eastAsia="仿宋_GB2312" w:cs="仿宋_GB2312"/>
          <w:bCs/>
          <w:color w:val="FF0000"/>
          <w:kern w:val="0"/>
          <w:sz w:val="28"/>
          <w:szCs w:val="28"/>
          <w:lang w:val="en-US" w:eastAsia="zh-CN" w:bidi="ar-SA"/>
        </w:rPr>
        <w:t>服务费人民币</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元整（小写：</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w:t>
      </w:r>
    </w:p>
    <w:p w14:paraId="4238ED7E">
      <w:pPr>
        <w:pStyle w:val="2"/>
        <w:keepNext w:val="0"/>
        <w:keepLines w:val="0"/>
        <w:pageBreakBefore w:val="0"/>
        <w:widowControl w:val="0"/>
        <w:kinsoku/>
        <w:wordWrap/>
        <w:overflowPunct/>
        <w:topLinePunct w:val="0"/>
        <w:autoSpaceDE/>
        <w:autoSpaceDN/>
        <w:bidi w:val="0"/>
        <w:adjustRightInd/>
        <w:snapToGrid/>
        <w:spacing w:after="0" w:line="480" w:lineRule="exact"/>
        <w:ind w:firstLine="480"/>
        <w:textAlignment w:val="auto"/>
        <w:rPr>
          <w:rFonts w:hint="default" w:ascii="仿宋_GB2312" w:hAnsi="Times New Roman" w:eastAsia="仿宋_GB2312" w:cs="仿宋_GB2312"/>
          <w:bCs/>
          <w:color w:val="FF0000"/>
          <w:kern w:val="0"/>
          <w:sz w:val="28"/>
          <w:szCs w:val="28"/>
          <w:lang w:val="en-US" w:eastAsia="zh-CN" w:bidi="ar-SA"/>
        </w:rPr>
      </w:pPr>
      <w:r>
        <w:rPr>
          <w:rFonts w:hint="eastAsia" w:ascii="仿宋_GB2312" w:hAnsi="Times New Roman" w:eastAsia="仿宋_GB2312" w:cs="仿宋_GB2312"/>
          <w:bCs/>
          <w:color w:val="FF0000"/>
          <w:kern w:val="0"/>
          <w:sz w:val="28"/>
          <w:szCs w:val="28"/>
          <w:lang w:val="en-US" w:eastAsia="zh-CN" w:bidi="ar-SA"/>
        </w:rPr>
        <w:t>2.2.2 在2026年 月 日前支付</w:t>
      </w:r>
      <w:r>
        <w:rPr>
          <w:rFonts w:hint="eastAsia" w:ascii="仿宋_GB2312" w:eastAsia="仿宋_GB2312" w:cs="仿宋_GB2312"/>
          <w:bCs/>
          <w:color w:val="FF0000"/>
          <w:kern w:val="0"/>
          <w:sz w:val="28"/>
          <w:szCs w:val="28"/>
          <w:lang w:val="en-US" w:eastAsia="zh-CN" w:bidi="ar-SA"/>
        </w:rPr>
        <w:t>年度</w:t>
      </w:r>
      <w:r>
        <w:rPr>
          <w:rFonts w:hint="eastAsia" w:ascii="仿宋_GB2312" w:hAnsi="Times New Roman" w:eastAsia="仿宋_GB2312" w:cs="仿宋_GB2312"/>
          <w:bCs/>
          <w:color w:val="FF0000"/>
          <w:kern w:val="0"/>
          <w:sz w:val="28"/>
          <w:szCs w:val="28"/>
          <w:lang w:val="en-US" w:eastAsia="zh-CN" w:bidi="ar-SA"/>
        </w:rPr>
        <w:t>服务费人民币</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元整（小写：</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w:t>
      </w:r>
    </w:p>
    <w:p w14:paraId="5E43D15A">
      <w:pPr>
        <w:pStyle w:val="2"/>
        <w:keepNext w:val="0"/>
        <w:keepLines w:val="0"/>
        <w:pageBreakBefore w:val="0"/>
        <w:widowControl w:val="0"/>
        <w:kinsoku/>
        <w:wordWrap/>
        <w:overflowPunct/>
        <w:topLinePunct w:val="0"/>
        <w:autoSpaceDE/>
        <w:autoSpaceDN/>
        <w:bidi w:val="0"/>
        <w:adjustRightInd/>
        <w:snapToGrid/>
        <w:spacing w:after="0" w:line="480" w:lineRule="exact"/>
        <w:ind w:firstLine="480"/>
        <w:textAlignment w:val="auto"/>
        <w:rPr>
          <w:rFonts w:hint="default" w:ascii="仿宋_GB2312" w:hAnsi="Times New Roman" w:eastAsia="仿宋_GB2312" w:cs="仿宋_GB2312"/>
          <w:bCs/>
          <w:color w:val="FF0000"/>
          <w:kern w:val="0"/>
          <w:sz w:val="28"/>
          <w:szCs w:val="28"/>
          <w:lang w:val="en-US" w:eastAsia="zh-CN" w:bidi="ar-SA"/>
        </w:rPr>
      </w:pPr>
      <w:r>
        <w:rPr>
          <w:rFonts w:hint="eastAsia" w:ascii="仿宋_GB2312" w:hAnsi="Times New Roman" w:eastAsia="仿宋_GB2312" w:cs="仿宋_GB2312"/>
          <w:bCs/>
          <w:color w:val="FF0000"/>
          <w:kern w:val="0"/>
          <w:sz w:val="28"/>
          <w:szCs w:val="28"/>
          <w:lang w:val="en-US" w:eastAsia="zh-CN" w:bidi="ar-SA"/>
        </w:rPr>
        <w:t>2.2.3 在2027年 月  日前支付</w:t>
      </w:r>
      <w:r>
        <w:rPr>
          <w:rFonts w:hint="eastAsia" w:ascii="仿宋_GB2312" w:eastAsia="仿宋_GB2312" w:cs="仿宋_GB2312"/>
          <w:bCs/>
          <w:color w:val="FF0000"/>
          <w:kern w:val="0"/>
          <w:sz w:val="28"/>
          <w:szCs w:val="28"/>
          <w:lang w:val="en-US" w:eastAsia="zh-CN" w:bidi="ar-SA"/>
        </w:rPr>
        <w:t>年度</w:t>
      </w:r>
      <w:r>
        <w:rPr>
          <w:rFonts w:hint="eastAsia" w:ascii="仿宋_GB2312" w:hAnsi="Times New Roman" w:eastAsia="仿宋_GB2312" w:cs="仿宋_GB2312"/>
          <w:bCs/>
          <w:color w:val="FF0000"/>
          <w:kern w:val="0"/>
          <w:sz w:val="28"/>
          <w:szCs w:val="28"/>
          <w:lang w:val="en-US" w:eastAsia="zh-CN" w:bidi="ar-SA"/>
        </w:rPr>
        <w:t>服务费人民币</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元整（小写：</w:t>
      </w:r>
      <w:r>
        <w:rPr>
          <w:rFonts w:hint="eastAsia" w:ascii="仿宋_GB2312" w:hAnsi="Times New Roman" w:eastAsia="仿宋_GB2312" w:cs="仿宋_GB2312"/>
          <w:bCs/>
          <w:color w:val="FF0000"/>
          <w:kern w:val="0"/>
          <w:sz w:val="28"/>
          <w:szCs w:val="28"/>
          <w:u w:val="single"/>
          <w:lang w:val="en-US" w:eastAsia="zh-CN" w:bidi="ar-SA"/>
        </w:rPr>
        <w:t xml:space="preserve"> </w:t>
      </w:r>
      <w:r>
        <w:rPr>
          <w:rFonts w:hint="eastAsia" w:ascii="仿宋_GB2312" w:eastAsia="仿宋_GB2312" w:cs="仿宋_GB2312"/>
          <w:bCs/>
          <w:color w:val="FF0000"/>
          <w:kern w:val="0"/>
          <w:sz w:val="28"/>
          <w:szCs w:val="28"/>
          <w:u w:val="single"/>
          <w:lang w:val="en-US" w:eastAsia="zh-CN" w:bidi="ar-SA"/>
        </w:rPr>
        <w:t xml:space="preserve">    </w:t>
      </w:r>
      <w:r>
        <w:rPr>
          <w:rFonts w:hint="eastAsia" w:ascii="仿宋_GB2312" w:hAnsi="Times New Roman" w:eastAsia="仿宋_GB2312" w:cs="仿宋_GB2312"/>
          <w:bCs/>
          <w:color w:val="FF0000"/>
          <w:kern w:val="0"/>
          <w:sz w:val="28"/>
          <w:szCs w:val="28"/>
          <w:lang w:val="en-US" w:eastAsia="zh-CN" w:bidi="ar-SA"/>
        </w:rPr>
        <w:t>元）</w:t>
      </w:r>
      <w:r>
        <w:rPr>
          <w:rFonts w:hint="eastAsia" w:ascii="仿宋_GB2312" w:eastAsia="仿宋_GB2312" w:cs="仿宋_GB2312"/>
          <w:bCs/>
          <w:color w:val="FF0000"/>
          <w:kern w:val="0"/>
          <w:sz w:val="28"/>
          <w:szCs w:val="28"/>
          <w:lang w:val="en-US" w:eastAsia="zh-CN" w:bidi="ar-SA"/>
        </w:rPr>
        <w:t>。</w:t>
      </w:r>
    </w:p>
    <w:p w14:paraId="7B84656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2.3 乙方应在甲方每次付款前及时提供以乙方名义开具的对应金额增值税普通发票，如未提供，甲方顺延付款，由此产生的责任均由乙方承担。</w:t>
      </w:r>
    </w:p>
    <w:p w14:paraId="6EF2338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2.4 乙方指定收款账户为：</w:t>
      </w:r>
    </w:p>
    <w:p w14:paraId="6256E1E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开户名： </w:t>
      </w:r>
      <w:r>
        <w:rPr>
          <w:rFonts w:hint="eastAsia" w:ascii="仿宋_GB2312" w:eastAsia="仿宋_GB2312" w:cs="仿宋_GB2312"/>
          <w:bCs/>
          <w:color w:val="auto"/>
          <w:kern w:val="0"/>
          <w:sz w:val="28"/>
          <w:szCs w:val="28"/>
          <w:lang w:val="en-US" w:eastAsia="zh-CN" w:bidi="ar-SA"/>
        </w:rPr>
        <w:t>南京迪飞信息系统有限公司</w:t>
      </w:r>
    </w:p>
    <w:p w14:paraId="48760C8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开户行： </w:t>
      </w:r>
      <w:r>
        <w:rPr>
          <w:rFonts w:hint="eastAsia" w:ascii="仿宋_GB2312" w:eastAsia="仿宋_GB2312" w:cs="仿宋_GB2312"/>
          <w:bCs/>
          <w:color w:val="auto"/>
          <w:kern w:val="0"/>
          <w:sz w:val="28"/>
          <w:szCs w:val="28"/>
          <w:lang w:val="en-US" w:eastAsia="zh-CN" w:bidi="ar-SA"/>
        </w:rPr>
        <w:t>南京银行鸡鸣寺支行</w:t>
      </w:r>
    </w:p>
    <w:p w14:paraId="45D4611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账 号： </w:t>
      </w:r>
      <w:r>
        <w:rPr>
          <w:rFonts w:hint="eastAsia" w:ascii="仿宋_GB2312" w:eastAsia="仿宋_GB2312" w:cs="仿宋_GB2312"/>
          <w:bCs/>
          <w:color w:val="auto"/>
          <w:kern w:val="0"/>
          <w:sz w:val="28"/>
          <w:szCs w:val="28"/>
          <w:lang w:val="en-US" w:eastAsia="zh-CN" w:bidi="ar-SA"/>
        </w:rPr>
        <w:t>088360201082093292</w:t>
      </w:r>
    </w:p>
    <w:p w14:paraId="6C1FE5F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第三条 双方权利义务</w:t>
      </w:r>
    </w:p>
    <w:p w14:paraId="4C9B5F2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3.1甲方权利和义务</w:t>
      </w:r>
    </w:p>
    <w:p w14:paraId="4356FFA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3.1.1 确保维保软件运行环境（包括计算机、打印机及相关硬件设备）的安全，为维保软件正常运行提供保障。</w:t>
      </w:r>
    </w:p>
    <w:p w14:paraId="01ADD79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3.1.2 在乙方提供支持服务时，根据乙方要求进行配合。</w:t>
      </w:r>
    </w:p>
    <w:p w14:paraId="5CC2B52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3.1.3 在乙方每次提供服务时，配合乙方检查维保软件系统运行是否正常，并对服务内容及结果进行确认。</w:t>
      </w:r>
    </w:p>
    <w:p w14:paraId="3508C8D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3.1.4 如在维保软件使用过程中发现异常，及时记录故障现象并与乙方取得联系，便于乙方诊断。</w:t>
      </w:r>
    </w:p>
    <w:p w14:paraId="7EB4B2A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3.2乙方权利和义务</w:t>
      </w:r>
    </w:p>
    <w:p w14:paraId="2B54F99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3.2.1 承诺按照本合同约定响应甲方的服务请求，并确保对服务质量。</w:t>
      </w:r>
    </w:p>
    <w:p w14:paraId="6001CF6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3.2.2 如乙方在现场服务过程中需要使用自带电脑或其他移动存储设备，必须在甲方监督下先作现场防病毒处理，否则应承担由此造成甲方的损失。</w:t>
      </w:r>
    </w:p>
    <w:p w14:paraId="05BE46C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3.2.3 若甲方对乙方工作人员的现场支持服务工作不满意，可进行投诉或要求更换工作人员，乙方将认真对待，严肃处理，并将处理结果书面通报甲方，更换工作人员应在3日内完成。若此次服务为本合同技术服务范围外的单次收费项目，则该次现场支持服务免费。</w:t>
      </w:r>
    </w:p>
    <w:p w14:paraId="53B7587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3.2.4 乙方工作人员需遵守甲方管理制度，确保网络系统安全、信息数据安全。如有网络攻防演练等网络安全行动，乙方免费提供加固服务。</w:t>
      </w:r>
    </w:p>
    <w:p w14:paraId="48397C2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第四条 保密义务</w:t>
      </w:r>
    </w:p>
    <w:p w14:paraId="3844DBA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4.1.1 未经任意一方书面同意，不得将保密信息用于任何非本合同之目的用途。</w:t>
      </w:r>
    </w:p>
    <w:p w14:paraId="761C47A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4.1.2 未经任意一方书面同意，不得将保密信息透露给任何第三方。不得允许（出借、赠予、出租、转让等处理保密信息的行为皆属于“允许”）或协助未经授权的第三方使用保密信息。</w:t>
      </w:r>
    </w:p>
    <w:p w14:paraId="4BB55EB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4.1.3 乙方保证对甲方提供的保密信息予以妥善保存，并至少采取适用于对自己的保密信息同样的保护措施和审慎程度进行保密。</w:t>
      </w:r>
    </w:p>
    <w:p w14:paraId="43D6975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4.1.4 乙方不得刺探与本身业务无关的甲方保密信息。</w:t>
      </w:r>
    </w:p>
    <w:p w14:paraId="1A6B414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0B8C87D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4.1.6 项目终止后，乙方应立即将甲方的保密信息全部载体归还甲方，或根据甲方的要求予以销毁，不得以任何形式保留原件或备份。</w:t>
      </w:r>
    </w:p>
    <w:p w14:paraId="2CE1F9F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445CEBB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4.1.8 如果乙方被要求向政府部门、法院或其他有权部门提供保密信息，乙方在可能的情况下，应立即向甲方予以通报。</w:t>
      </w:r>
    </w:p>
    <w:p w14:paraId="75E7381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5915BD9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4.1.10 保密义务同样适用于有关未经注册或未被授予专利权的发明的文件和信息。因对本协议所指保密信息的使用而直接或间接产生的知识产权方面的权利由双方当事人协商决定其归属。</w:t>
      </w:r>
    </w:p>
    <w:p w14:paraId="3646EFA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4.2本合同中所说“保密信息”指如下信息：</w:t>
      </w:r>
    </w:p>
    <w:p w14:paraId="6844262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4.2.1 双方就合同订立、履行、变更等产生的研究、商讨、交流等信息。</w:t>
      </w:r>
    </w:p>
    <w:p w14:paraId="4E4136E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 与甲方有关为乙方知晓、保存或可能上传、交换的信息，包括但不限于如下：</w:t>
      </w:r>
    </w:p>
    <w:p w14:paraId="43EE314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4.2.2.1 技术信息：包括涉及甲方信息化建设中的技术信息，包括软件技术、数据、管理文件等；</w:t>
      </w:r>
    </w:p>
    <w:p w14:paraId="7927B03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4.2.2.2 人事信息：包括涉及甲方的人事档案、薪酬、及考核等人力资源管理信息；</w:t>
      </w:r>
    </w:p>
    <w:p w14:paraId="0ECC0D6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4.2.2.3 医院运行信息：包括涉及甲方业务运行的各种信息，医院经营方向、经营决策、定价政策以及内部掌握的合同、协议、项目方案等；</w:t>
      </w:r>
    </w:p>
    <w:p w14:paraId="780C33F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4.2.2.4 财务信息：包括涉及甲方的各项财务报表、成本及预算报告、员工工资等；</w:t>
      </w:r>
    </w:p>
    <w:p w14:paraId="14FBD6C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4.2.2.5 患者信息：包括涉及甲方门诊、住院患者的相关诊疗信息，如患者基本信息、诊疗计划、病历信息、费用信息、处方等；</w:t>
      </w:r>
    </w:p>
    <w:p w14:paraId="5AE0C95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4.2.2.6应当予以保密的商业秘密、个人隐私等信息。</w:t>
      </w:r>
    </w:p>
    <w:p w14:paraId="6F37503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4.3 本合同约定的保密信息为永久绝对保密，保密条款在本合同终止后仍然有效。</w:t>
      </w:r>
    </w:p>
    <w:p w14:paraId="1DFB23B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第五条 知识产权</w:t>
      </w:r>
    </w:p>
    <w:p w14:paraId="549F67E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5.1 乙方确保履行本合同不会引发任何知识产权纠纷，否则承担由此造成甲方的全部经济损失和法律责任。</w:t>
      </w:r>
    </w:p>
    <w:p w14:paraId="42B408E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5.2在本合同有效期内，甲方利用乙方提交的技术服务工作成果所完成的新的技术成果，归 甲 方所有。</w:t>
      </w:r>
    </w:p>
    <w:p w14:paraId="1C636AE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5.3 在本合同有效期内，乙方利用甲方提供的技术资料和工作条件所完成的新的技术成果，归 双 方所有。</w:t>
      </w:r>
    </w:p>
    <w:p w14:paraId="7A51D96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第六条 通知与送达</w:t>
      </w:r>
    </w:p>
    <w:p w14:paraId="7D8297F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6.1 甲乙双方同意，与本合同有关的任何文书，应以书面方式送达本合同约定的联系方式。书面形式包括手机短信、微信、书面函件、电子邮件等形式。</w:t>
      </w:r>
    </w:p>
    <w:p w14:paraId="3112EFB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 双方确认的文书（包括未来可能发生的诉讼或仲裁活动中法院或仲裁机构的送达法律文书）送达地址：</w:t>
      </w:r>
    </w:p>
    <w:p w14:paraId="7BE4E3E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jc w:val="both"/>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6.2.1 甲方的文书送达地址：</w:t>
      </w:r>
      <w:r>
        <w:rPr>
          <w:rFonts w:hint="eastAsia" w:ascii="仿宋_GB2312" w:hAnsi="Times New Roman" w:eastAsia="仿宋_GB2312" w:cs="仿宋_GB2312"/>
          <w:bCs/>
          <w:color w:val="auto"/>
          <w:kern w:val="0"/>
          <w:sz w:val="28"/>
          <w:szCs w:val="28"/>
          <w:u w:val="single"/>
          <w:lang w:val="en-US" w:eastAsia="zh-CN" w:bidi="ar-SA"/>
        </w:rPr>
        <w:t xml:space="preserve"> 湖南省娄底市娄星区长青街51号</w:t>
      </w:r>
      <w:r>
        <w:rPr>
          <w:rFonts w:hint="eastAsia" w:ascii="仿宋_GB2312" w:hAnsi="Times New Roman" w:eastAsia="仿宋_GB2312" w:cs="仿宋_GB2312"/>
          <w:bCs/>
          <w:color w:val="auto"/>
          <w:kern w:val="0"/>
          <w:sz w:val="28"/>
          <w:szCs w:val="28"/>
          <w:lang w:val="en-US" w:eastAsia="zh-CN" w:bidi="ar-SA"/>
        </w:rPr>
        <w:t>，收件人：</w:t>
      </w:r>
      <w:r>
        <w:rPr>
          <w:rFonts w:hint="eastAsia" w:ascii="仿宋_GB2312" w:eastAsia="仿宋_GB2312" w:cs="仿宋_GB2312"/>
          <w:bCs/>
          <w:color w:val="auto"/>
          <w:kern w:val="0"/>
          <w:sz w:val="28"/>
          <w:szCs w:val="28"/>
          <w:u w:val="single"/>
          <w:lang w:val="en-US" w:eastAsia="zh-CN" w:bidi="ar-SA"/>
        </w:rPr>
        <w:t>胡晟娅</w:t>
      </w:r>
      <w:r>
        <w:rPr>
          <w:rFonts w:hint="eastAsia" w:ascii="仿宋_GB2312" w:hAnsi="Times New Roman" w:eastAsia="仿宋_GB2312" w:cs="仿宋_GB2312"/>
          <w:bCs/>
          <w:color w:val="auto"/>
          <w:kern w:val="0"/>
          <w:sz w:val="28"/>
          <w:szCs w:val="28"/>
          <w:lang w:val="en-US" w:eastAsia="zh-CN" w:bidi="ar-SA"/>
        </w:rPr>
        <w:t xml:space="preserve"> ，联系电话：</w:t>
      </w:r>
      <w:r>
        <w:rPr>
          <w:rFonts w:hint="eastAsia" w:ascii="仿宋_GB2312" w:eastAsia="仿宋_GB2312" w:cs="仿宋_GB2312"/>
          <w:bCs/>
          <w:color w:val="auto"/>
          <w:kern w:val="0"/>
          <w:sz w:val="28"/>
          <w:szCs w:val="28"/>
          <w:u w:val="single"/>
          <w:lang w:val="en-US" w:eastAsia="zh-CN" w:bidi="ar-SA"/>
        </w:rPr>
        <w:t>17363823330</w:t>
      </w:r>
      <w:r>
        <w:rPr>
          <w:rFonts w:hint="eastAsia" w:ascii="仿宋_GB2312" w:hAnsi="Times New Roman" w:eastAsia="仿宋_GB2312" w:cs="仿宋_GB2312"/>
          <w:bCs/>
          <w:color w:val="auto"/>
          <w:kern w:val="0"/>
          <w:sz w:val="28"/>
          <w:szCs w:val="28"/>
          <w:lang w:val="en-US" w:eastAsia="zh-CN" w:bidi="ar-SA"/>
        </w:rPr>
        <w:t xml:space="preserve"> ，电子邮箱：</w:t>
      </w:r>
      <w:r>
        <w:rPr>
          <w:rFonts w:hint="eastAsia" w:ascii="仿宋_GB2312" w:eastAsia="仿宋_GB2312" w:cs="仿宋_GB2312"/>
          <w:bCs/>
          <w:color w:val="auto"/>
          <w:kern w:val="0"/>
          <w:sz w:val="28"/>
          <w:szCs w:val="28"/>
          <w:u w:val="single"/>
          <w:lang w:val="en-US" w:eastAsia="zh-CN" w:bidi="ar-SA"/>
        </w:rPr>
        <w:t xml:space="preserve">  /  </w:t>
      </w:r>
      <w:r>
        <w:rPr>
          <w:rFonts w:hint="eastAsia" w:ascii="仿宋_GB2312" w:hAnsi="Times New Roman" w:eastAsia="仿宋_GB2312" w:cs="仿宋_GB2312"/>
          <w:bCs/>
          <w:color w:val="auto"/>
          <w:kern w:val="0"/>
          <w:sz w:val="28"/>
          <w:szCs w:val="28"/>
          <w:lang w:val="en-US" w:eastAsia="zh-CN" w:bidi="ar-SA"/>
        </w:rPr>
        <w:t>。</w:t>
      </w:r>
    </w:p>
    <w:p w14:paraId="6F2307F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jc w:val="both"/>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6.2.2 乙方的文书送达地址：</w:t>
      </w:r>
      <w:r>
        <w:rPr>
          <w:rFonts w:hint="eastAsia" w:ascii="仿宋_GB2312" w:eastAsia="仿宋_GB2312" w:cs="仿宋_GB2312"/>
          <w:bCs/>
          <w:color w:val="auto"/>
          <w:kern w:val="0"/>
          <w:sz w:val="28"/>
          <w:szCs w:val="28"/>
          <w:u w:val="single"/>
          <w:lang w:val="en-US" w:eastAsia="zh-CN" w:bidi="ar-SA"/>
        </w:rPr>
        <w:t>江苏省南京市玄武区洪武北路188号2001室</w:t>
      </w:r>
      <w:r>
        <w:rPr>
          <w:rFonts w:hint="eastAsia" w:ascii="仿宋_GB2312" w:hAnsi="Times New Roman" w:eastAsia="仿宋_GB2312" w:cs="仿宋_GB2312"/>
          <w:bCs/>
          <w:color w:val="auto"/>
          <w:kern w:val="0"/>
          <w:sz w:val="28"/>
          <w:szCs w:val="28"/>
          <w:lang w:val="en-US" w:eastAsia="zh-CN" w:bidi="ar-SA"/>
        </w:rPr>
        <w:t>，收件人：</w:t>
      </w:r>
      <w:r>
        <w:rPr>
          <w:rFonts w:hint="eastAsia" w:ascii="仿宋_GB2312" w:eastAsia="仿宋_GB2312" w:cs="仿宋_GB2312"/>
          <w:bCs/>
          <w:color w:val="auto"/>
          <w:kern w:val="0"/>
          <w:sz w:val="28"/>
          <w:szCs w:val="28"/>
          <w:u w:val="single"/>
          <w:lang w:val="en-US" w:eastAsia="zh-CN" w:bidi="ar-SA"/>
        </w:rPr>
        <w:t>陆婷</w:t>
      </w:r>
      <w:r>
        <w:rPr>
          <w:rFonts w:hint="eastAsia" w:ascii="仿宋_GB2312" w:hAnsi="Times New Roman" w:eastAsia="仿宋_GB2312" w:cs="仿宋_GB2312"/>
          <w:bCs/>
          <w:color w:val="auto"/>
          <w:kern w:val="0"/>
          <w:sz w:val="28"/>
          <w:szCs w:val="28"/>
          <w:lang w:val="en-US" w:eastAsia="zh-CN" w:bidi="ar-SA"/>
        </w:rPr>
        <w:t>，联系电话：</w:t>
      </w:r>
      <w:r>
        <w:rPr>
          <w:rFonts w:hint="eastAsia" w:ascii="仿宋_GB2312" w:eastAsia="仿宋_GB2312" w:cs="仿宋_GB2312"/>
          <w:bCs/>
          <w:color w:val="auto"/>
          <w:kern w:val="0"/>
          <w:sz w:val="28"/>
          <w:szCs w:val="28"/>
          <w:u w:val="single"/>
          <w:lang w:val="en-US" w:eastAsia="zh-CN" w:bidi="ar-SA"/>
        </w:rPr>
        <w:t>17798553158</w:t>
      </w:r>
      <w:r>
        <w:rPr>
          <w:rFonts w:hint="eastAsia" w:ascii="仿宋_GB2312" w:hAnsi="Times New Roman" w:eastAsia="仿宋_GB2312" w:cs="仿宋_GB2312"/>
          <w:bCs/>
          <w:color w:val="auto"/>
          <w:kern w:val="0"/>
          <w:sz w:val="28"/>
          <w:szCs w:val="28"/>
          <w:lang w:val="en-US" w:eastAsia="zh-CN" w:bidi="ar-SA"/>
        </w:rPr>
        <w:t xml:space="preserve">，电子邮箱： </w:t>
      </w:r>
      <w:r>
        <w:rPr>
          <w:rFonts w:hint="eastAsia" w:ascii="仿宋_GB2312" w:eastAsia="仿宋_GB2312" w:cs="仿宋_GB2312"/>
          <w:bCs/>
          <w:color w:val="auto"/>
          <w:kern w:val="0"/>
          <w:sz w:val="28"/>
          <w:szCs w:val="28"/>
          <w:u w:val="single"/>
          <w:lang w:val="en-US" w:eastAsia="zh-CN" w:bidi="ar-SA"/>
        </w:rPr>
        <w:t>316119029@qq.com</w:t>
      </w:r>
      <w:r>
        <w:rPr>
          <w:rFonts w:hint="eastAsia" w:ascii="仿宋_GB2312" w:hAnsi="Times New Roman" w:eastAsia="仿宋_GB2312" w:cs="仿宋_GB2312"/>
          <w:bCs/>
          <w:color w:val="auto"/>
          <w:kern w:val="0"/>
          <w:sz w:val="28"/>
          <w:szCs w:val="28"/>
          <w:lang w:val="en-US" w:eastAsia="zh-CN" w:bidi="ar-SA"/>
        </w:rPr>
        <w:t>。</w:t>
      </w:r>
    </w:p>
    <w:p w14:paraId="68F58AA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jc w:val="both"/>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6.3 上述通知应被视为在下列时间送达：以快递或专人发送的，在收件人签收之日或拒收之日；以挂号邮件发出的，在发出之日起7个工作日；以电子邮件发出的，在电子邮件进入收件方电子邮箱服务器之日。</w:t>
      </w:r>
    </w:p>
    <w:p w14:paraId="3CCBA80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jc w:val="both"/>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14:paraId="5C47A0A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第七条 合同的变更与解除</w:t>
      </w:r>
    </w:p>
    <w:p w14:paraId="6D90890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7.1 经甲乙双方协商一致，可以对本合同内容进行变更和补充，双方应另行签订补充协议。</w:t>
      </w:r>
    </w:p>
    <w:p w14:paraId="543629D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 如乙方存在以下情形之一的，甲方有权单方面解除合同：</w:t>
      </w:r>
    </w:p>
    <w:p w14:paraId="634D795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7.2.1 服务期内乙方迟延履行维保服务超过7个工作日的；</w:t>
      </w:r>
    </w:p>
    <w:p w14:paraId="2CD3536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7.2.2 乙方将订单转包、分包给第三方的；</w:t>
      </w:r>
    </w:p>
    <w:p w14:paraId="5AE0869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7.2.3 乙方违反保密条款或侵犯第三人的知识产权及其它合法权利，给甲方造成损失或不良影响。</w:t>
      </w:r>
    </w:p>
    <w:p w14:paraId="1931F79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7.2.4 其他根本违约的情形。</w:t>
      </w:r>
    </w:p>
    <w:p w14:paraId="1F1C76C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7.3 如因不可抗力和政策因素导致本合同无法继续履行的，任意一方在书面通知对方后可以解除本合同。</w:t>
      </w:r>
    </w:p>
    <w:p w14:paraId="5F2E565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第八条 违约责任</w:t>
      </w:r>
    </w:p>
    <w:p w14:paraId="4187CCB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8.1 乙方逾期提供维保服务的或接到甲方通知后超过3日未及时更换工作人员的，每逾期一日，按本合同总额千分之一支付甲方违约金。</w:t>
      </w:r>
    </w:p>
    <w:p w14:paraId="493D37E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8.2 如乙方单方面解除合同，或甲方依据本合同7.2解除合同，乙方除退还甲方所有已支付的款项、赔偿甲方由此造成直接经济损失外，还须按合同总额的20%向甲方支付违约金。</w:t>
      </w:r>
    </w:p>
    <w:p w14:paraId="292E0E1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8.3 依照本合同约定乙方应当承担的违约金，甲方有权从应付款项中直接扣除，不足部分，乙方应当在接到甲方通知之日起3日内补足。</w:t>
      </w:r>
    </w:p>
    <w:p w14:paraId="03CA834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8.4 双方均有过错的，应根据各方实际过错程度或造成的实际损失，分别承担违约责任。</w:t>
      </w:r>
    </w:p>
    <w:p w14:paraId="243096E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8.5 免责情形：甲乙双方明确任意方因不可抗力或意外事件而未能履行本合同，不承担违约责任。本款所称“不可抗力”是指不能预见、不能避免或不能克服的客观事件，包括自然灾害如洪水、火灾、爆炸、雷电、地震和风暴等以及社会事件如战争、动乱、罢工等。“意外事件”指诸如海底光缆受撞船事件的影响而损坏，通信线路或服务器发生超出双方防范与预见能力的故障等类似事件。</w:t>
      </w:r>
    </w:p>
    <w:p w14:paraId="16BDF42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第九条 争议解决</w:t>
      </w:r>
    </w:p>
    <w:p w14:paraId="5BB90B0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如在合同执行期间发生争议，由甲乙双方共同协商解决，经双方协商不能达成一致，任一方均有权向甲方所在地有管辖权的人民法院起诉。</w:t>
      </w:r>
    </w:p>
    <w:p w14:paraId="2511D61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第十条 合规条款</w:t>
      </w:r>
    </w:p>
    <w:p w14:paraId="415F167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议期间，任何一方在涉及协议相关方面或执行协议中规定义务（包括根据法律获取并保持所有许可证、准许和授权）时均必须遵守所有适用法律、条例、规则和规定。各方明确知悉中华人民共和国反商业贿赂法律、法规和行业协会准则，都禁止直接或间接向政府官员及医疗保健专业人士提供、支付或承诺支付、或授权支付任何现金或有价物，用以（1)影响接受方履行、不履行或使其违反职责及诚信责任，如：因此而诱使对方推荐、购买或订购产品或服务或以此作为回报的；（2)诱使接受方以其影响力影响其他政府官员或医疗保健专业人士履行、不履行，或使其违反职责及诚信责任；（3)获得任何非法或不道德的商业优势。</w:t>
      </w:r>
    </w:p>
    <w:p w14:paraId="4FA2A7C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第十一条 附则</w:t>
      </w:r>
    </w:p>
    <w:p w14:paraId="1ED5EB6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11.1 本合同附件经双方签字后具有与本合同同等的法律效力。</w:t>
      </w:r>
    </w:p>
    <w:p w14:paraId="2C861AE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11.2 本合同组成文件及解释顺序：本合同补充协议、乙方在履行合同中作出的承诺；本合同及附件；成交公告；采购需求及响应；其他与本合同相关的资料。</w:t>
      </w:r>
    </w:p>
    <w:p w14:paraId="0EC3EBF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11.3 本合同一式陆份，甲方执肆份、乙方执贰份，自双方签字并盖章后生效，</w:t>
      </w:r>
    </w:p>
    <w:p w14:paraId="7DB4BBD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w:t>
      </w:r>
    </w:p>
    <w:p w14:paraId="282E50B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5760" w:right="0" w:hanging="5277"/>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甲方（盖章）：娄底市中心医院 乙方（盖章）：</w:t>
      </w:r>
      <w:r>
        <w:rPr>
          <w:rFonts w:hint="eastAsia" w:ascii="仿宋_GB2312" w:eastAsia="仿宋_GB2312" w:cs="仿宋_GB2312"/>
          <w:bCs/>
          <w:color w:val="auto"/>
          <w:kern w:val="0"/>
          <w:sz w:val="28"/>
          <w:szCs w:val="28"/>
          <w:lang w:val="en-US" w:eastAsia="zh-CN" w:bidi="ar-SA"/>
        </w:rPr>
        <w:t>南京迪飞信息系统有限公司</w:t>
      </w:r>
      <w:r>
        <w:rPr>
          <w:rFonts w:hint="eastAsia" w:ascii="仿宋_GB2312" w:hAnsi="Times New Roman" w:eastAsia="仿宋_GB2312" w:cs="仿宋_GB2312"/>
          <w:bCs/>
          <w:color w:val="auto"/>
          <w:kern w:val="0"/>
          <w:sz w:val="28"/>
          <w:szCs w:val="28"/>
          <w:lang w:val="en-US" w:eastAsia="zh-CN" w:bidi="ar-SA"/>
        </w:rPr>
        <w:t xml:space="preserve"> </w:t>
      </w:r>
    </w:p>
    <w:p w14:paraId="60DE6C4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法定代表人（签名）：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 xml:space="preserve">法定代表人（签名）： </w:t>
      </w:r>
    </w:p>
    <w:p w14:paraId="5F68A72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或委托代理人（签名）：</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 xml:space="preserve"> 或委托代理人（签名）： </w:t>
      </w:r>
    </w:p>
    <w:p w14:paraId="5C3880A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475"/>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合同签订地：娄底市娄星区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签订日期：202</w:t>
      </w: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年</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 xml:space="preserve"> 月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日</w:t>
      </w:r>
    </w:p>
    <w:p w14:paraId="3588AA8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w:t>
      </w:r>
    </w:p>
    <w:p w14:paraId="45D57B0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附件：生殖中心电子病历维保服务项目及内容如下：</w:t>
      </w:r>
    </w:p>
    <w:tbl>
      <w:tblPr>
        <w:tblStyle w:val="11"/>
        <w:tblW w:w="9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79"/>
        <w:gridCol w:w="1097"/>
        <w:gridCol w:w="7402"/>
      </w:tblGrid>
      <w:tr w14:paraId="35B4E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2"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68BE78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7393B7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项目类别</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055A778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内容</w:t>
            </w:r>
          </w:p>
        </w:tc>
      </w:tr>
      <w:tr w14:paraId="48456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035AC64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80D4A9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日常服务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D680FC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系统使用咨询</w:t>
            </w:r>
          </w:p>
        </w:tc>
      </w:tr>
      <w:tr w14:paraId="3A393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A97ED1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DE5E6B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89A25D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错误数据的修正</w:t>
            </w:r>
          </w:p>
        </w:tc>
      </w:tr>
      <w:tr w14:paraId="66510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BF7ABB6">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34E9FF7">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CEFAF5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对误删除数据的恢复</w:t>
            </w:r>
          </w:p>
        </w:tc>
      </w:tr>
      <w:tr w14:paraId="7FAB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A123C0B">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04194D2">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7E3E4A8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重复数据的修正</w:t>
            </w:r>
          </w:p>
        </w:tc>
      </w:tr>
      <w:tr w14:paraId="1D243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9005CA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544D22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6A557D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原始数据的追溯</w:t>
            </w:r>
          </w:p>
        </w:tc>
      </w:tr>
      <w:tr w14:paraId="1BF1D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74A5B4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FFE42C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98FAF9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新增客户端的安装，调试</w:t>
            </w:r>
          </w:p>
        </w:tc>
      </w:tr>
      <w:tr w14:paraId="06D19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5531C9C">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30A96D5">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616589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客户端运行使用的维护，例如服务器连接不上、系统无法登录、接口数据无法获取</w:t>
            </w:r>
          </w:p>
        </w:tc>
      </w:tr>
      <w:tr w14:paraId="0706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9FA38E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021526B">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E2786D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服务器更换后的系统部署</w:t>
            </w:r>
          </w:p>
        </w:tc>
      </w:tr>
      <w:tr w14:paraId="2226A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B38B9BE">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34F84E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9850D8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数据库迁移</w:t>
            </w:r>
          </w:p>
        </w:tc>
      </w:tr>
      <w:tr w14:paraId="0C67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C8FF99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70E0278">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90439F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数据库版本支持升级</w:t>
            </w:r>
          </w:p>
        </w:tc>
      </w:tr>
      <w:tr w14:paraId="7C5E0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88842B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35B5EE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E32F9D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数据库定期备份检查</w:t>
            </w:r>
          </w:p>
        </w:tc>
      </w:tr>
      <w:tr w14:paraId="7511A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22070748">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697EA5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EEC675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断电后对服务器的检查及后续处理</w:t>
            </w:r>
          </w:p>
        </w:tc>
      </w:tr>
      <w:tr w14:paraId="23F2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7" w:hRule="atLeast"/>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708B86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p>
        </w:tc>
        <w:tc>
          <w:tcPr>
            <w:tcW w:w="0" w:type="auto"/>
            <w:vMerge w:val="restart"/>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D6513A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数据挖掘统计</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DF8FD7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相关数据统计</w:t>
            </w:r>
          </w:p>
        </w:tc>
      </w:tr>
      <w:tr w14:paraId="64DAE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079567B0">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1155B45">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1B46119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协助工作量统计</w:t>
            </w:r>
          </w:p>
        </w:tc>
      </w:tr>
      <w:tr w14:paraId="375F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9262926">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16AEB19">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00CD46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协助数据挖掘分析</w:t>
            </w:r>
          </w:p>
        </w:tc>
      </w:tr>
      <w:tr w14:paraId="4FDE6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0299CABF">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7B2FDB36">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1302D55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协助质控数据的检索</w:t>
            </w:r>
          </w:p>
        </w:tc>
      </w:tr>
      <w:tr w14:paraId="181F4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48A6C8AA">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1C9CB8C5">
            <w:pPr>
              <w:keepNext w:val="0"/>
              <w:keepLines w:val="0"/>
              <w:pageBreakBefore w:val="0"/>
              <w:widowControl w:val="0"/>
              <w:kinsoku/>
              <w:wordWrap/>
              <w:overflowPunct/>
              <w:topLinePunct w:val="0"/>
              <w:autoSpaceDE/>
              <w:autoSpaceDN/>
              <w:bidi w:val="0"/>
              <w:spacing w:line="480" w:lineRule="exact"/>
              <w:rPr>
                <w:rFonts w:hint="eastAsia" w:ascii="仿宋_GB2312" w:hAnsi="Times New Roman" w:eastAsia="仿宋_GB2312" w:cs="仿宋_GB2312"/>
                <w:bCs/>
                <w:color w:val="auto"/>
                <w:kern w:val="0"/>
                <w:sz w:val="28"/>
                <w:szCs w:val="28"/>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315E6D8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协助科研用数据的分析</w:t>
            </w:r>
          </w:p>
        </w:tc>
      </w:tr>
      <w:tr w14:paraId="4F873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526AE3A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5B6540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系统培训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1BAB84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系统更新后对中心医护人员进行业务培训 2次/年</w:t>
            </w:r>
          </w:p>
        </w:tc>
      </w:tr>
      <w:tr w14:paraId="05380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61AC1DA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63456D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增强性维护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FEFEF3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提供系统功能增强性维护，确保各系统的正常运行</w:t>
            </w:r>
          </w:p>
        </w:tc>
      </w:tr>
      <w:tr w14:paraId="3888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D6A053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328ABFD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政策性维护</w:t>
            </w:r>
          </w:p>
          <w:p w14:paraId="264125E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475"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254903A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因国家政策或政府、医院上级部门要求导致的被动性程序修改，提供程序修改服务，并确保系统的在政策要求的时限内正确运行，该费用包含在维护总价内，医院不再另行支付相关费用。</w:t>
            </w:r>
          </w:p>
        </w:tc>
      </w:tr>
      <w:tr w14:paraId="7821B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rPr>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577919A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center"/>
          </w:tcPr>
          <w:p w14:paraId="66860D1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jc w:val="center"/>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定期维护</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08" w:type="dxa"/>
              <w:right w:w="108" w:type="dxa"/>
            </w:tcMar>
            <w:vAlign w:val="top"/>
          </w:tcPr>
          <w:p w14:paraId="49B21BE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textAlignment w:val="baseline"/>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每季度不定期进行系统巡查、数据维护和备份。</w:t>
            </w:r>
          </w:p>
        </w:tc>
      </w:tr>
    </w:tbl>
    <w:p w14:paraId="023E4E3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jc w:val="left"/>
        <w:rPr>
          <w:rFonts w:ascii="微软雅黑" w:hAnsi="微软雅黑" w:eastAsia="微软雅黑" w:cs="微软雅黑"/>
          <w:i w:val="0"/>
          <w:iCs w:val="0"/>
          <w:caps w:val="0"/>
          <w:color w:val="000000"/>
          <w:spacing w:val="0"/>
          <w:sz w:val="27"/>
          <w:szCs w:val="27"/>
        </w:rPr>
      </w:pPr>
    </w:p>
    <w:p w14:paraId="6F0DBBF8">
      <w:pPr>
        <w:keepNext w:val="0"/>
        <w:keepLines w:val="0"/>
        <w:pageBreakBefore w:val="0"/>
        <w:widowControl w:val="0"/>
        <w:kinsoku/>
        <w:wordWrap/>
        <w:overflowPunct/>
        <w:topLinePunct w:val="0"/>
        <w:autoSpaceDE/>
        <w:autoSpaceDN/>
        <w:bidi w:val="0"/>
        <w:spacing w:line="480" w:lineRule="exact"/>
      </w:pPr>
    </w:p>
    <w:p w14:paraId="13E9B742">
      <w:pPr>
        <w:pStyle w:val="3"/>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4"/>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3"/>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EA6D6B5">
      <w:pPr>
        <w:pStyle w:val="13"/>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7A"/>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3B068B"/>
    <w:rsid w:val="20A035CA"/>
    <w:rsid w:val="6A2F29DC"/>
    <w:rsid w:val="783B068B"/>
    <w:rsid w:val="7E8B7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line="400" w:lineRule="exact"/>
      <w:ind w:left="420" w:leftChars="200"/>
    </w:pPr>
    <w:rPr>
      <w:rFonts w:ascii="Calibri" w:hAnsi="Calibri"/>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autoSpaceDE w:val="0"/>
      <w:autoSpaceDN w:val="0"/>
      <w:adjustRightInd w:val="0"/>
      <w:ind w:firstLine="420"/>
      <w:jc w:val="left"/>
    </w:pPr>
    <w:rPr>
      <w:kern w:val="0"/>
    </w:rPr>
  </w:style>
  <w:style w:type="paragraph" w:customStyle="1" w:styleId="13">
    <w:name w:val="列出段落1"/>
    <w:basedOn w:val="1"/>
    <w:qFormat/>
    <w:uiPriority w:val="99"/>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5725</Words>
  <Characters>6140</Characters>
  <Lines>0</Lines>
  <Paragraphs>0</Paragraphs>
  <TotalTime>16</TotalTime>
  <ScaleCrop>false</ScaleCrop>
  <LinksUpToDate>false</LinksUpToDate>
  <CharactersWithSpaces>6337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2025-04-24T08:20:00Z</dcterms:created>
  <dc:creator>胡涛</dc:creator>
  <cp:lastModifiedBy>胡涛</cp:lastModifiedBy>
  <dcterms:modified xsi:type="dcterms:W3CDTF">2025-05-20T01:22:19Z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0555DD89BAC441048F3EEC25EAA20514_11</vt:lpwstr>
  </property>
  <property fmtid="{D5CDD505-2E9C-101B-9397-08002B2CF9AE}" pid="4" name="KSOTemplateDocerSaveRecord">
    <vt:lpwstr>eyJoZGlkIjoiMzBiNGI3ZTYwZjQ3ZjQ3NDNlNjVmNTNjZmRkOTY0ZTkiLCJ1c2VySWQiOiIyNjQ2NDY0ODUifQ==</vt:lpwstr>
  </property>
</Properties>
</file>